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43E" w:rsidRPr="00A56431" w:rsidRDefault="00B3543E" w:rsidP="00A56431">
      <w:pPr>
        <w:rPr>
          <w:rFonts w:ascii="Arial" w:hAnsi="Arial" w:cs="Arial"/>
          <w:sz w:val="24"/>
          <w:szCs w:val="24"/>
        </w:rPr>
      </w:pPr>
    </w:p>
    <w:p w:rsidR="00A56431" w:rsidRDefault="00A56431" w:rsidP="00A56431">
      <w:pPr>
        <w:pStyle w:val="Texto"/>
        <w:spacing w:line="276" w:lineRule="auto"/>
        <w:jc w:val="center"/>
        <w:rPr>
          <w:b/>
          <w:sz w:val="24"/>
          <w:szCs w:val="24"/>
        </w:rPr>
      </w:pPr>
      <w:r w:rsidRPr="00A56431">
        <w:rPr>
          <w:b/>
          <w:sz w:val="24"/>
          <w:szCs w:val="24"/>
        </w:rPr>
        <w:t>Acción Esencial 3</w:t>
      </w:r>
    </w:p>
    <w:p w:rsidR="00A56431" w:rsidRPr="00A56431" w:rsidRDefault="00A56431" w:rsidP="00A56431">
      <w:pPr>
        <w:pStyle w:val="Texto"/>
        <w:spacing w:line="276" w:lineRule="auto"/>
        <w:jc w:val="center"/>
        <w:rPr>
          <w:b/>
          <w:sz w:val="24"/>
          <w:szCs w:val="24"/>
        </w:rPr>
      </w:pPr>
      <w:bookmarkStart w:id="0" w:name="_GoBack"/>
      <w:bookmarkEnd w:id="0"/>
    </w:p>
    <w:p w:rsidR="00A56431" w:rsidRPr="00A56431" w:rsidRDefault="00A56431" w:rsidP="00A56431">
      <w:pPr>
        <w:pStyle w:val="Texto"/>
        <w:spacing w:line="276" w:lineRule="auto"/>
        <w:rPr>
          <w:b/>
          <w:sz w:val="24"/>
          <w:szCs w:val="24"/>
        </w:rPr>
      </w:pPr>
      <w:r w:rsidRPr="00A56431">
        <w:rPr>
          <w:b/>
          <w:sz w:val="24"/>
          <w:szCs w:val="24"/>
        </w:rPr>
        <w:t>Seguridad en el proceso de medicación</w:t>
      </w:r>
    </w:p>
    <w:p w:rsidR="00A56431" w:rsidRPr="00A56431" w:rsidRDefault="00A56431" w:rsidP="00A56431">
      <w:pPr>
        <w:pStyle w:val="Texto"/>
        <w:spacing w:line="276" w:lineRule="auto"/>
        <w:rPr>
          <w:sz w:val="24"/>
          <w:szCs w:val="24"/>
        </w:rPr>
      </w:pPr>
      <w:r w:rsidRPr="00A56431">
        <w:rPr>
          <w:sz w:val="24"/>
          <w:szCs w:val="24"/>
        </w:rPr>
        <w:t>Los medicamentos constituyen el recurso terapéutico más utilizado en los países desarrollados. En consecuencia, no es de extrañar que los errores de medicación sean una de las causas más frecuentes de los acontecimientos adversos ligados a la atención médica. En EE.UU. el primer informe del Instituto de Medicina señaló que los errores por medicamentos eran los de mayor prevalencia en hospitales</w:t>
      </w:r>
      <w:proofErr w:type="gramStart"/>
      <w:r w:rsidRPr="00A56431">
        <w:rPr>
          <w:sz w:val="24"/>
          <w:szCs w:val="24"/>
        </w:rPr>
        <w:t>.</w:t>
      </w:r>
      <w:r w:rsidRPr="00A56431">
        <w:rPr>
          <w:b/>
          <w:sz w:val="24"/>
          <w:szCs w:val="24"/>
          <w:vertAlign w:val="superscript"/>
        </w:rPr>
        <w:t>(</w:t>
      </w:r>
      <w:proofErr w:type="gramEnd"/>
      <w:r w:rsidRPr="00A56431">
        <w:rPr>
          <w:b/>
          <w:sz w:val="24"/>
          <w:szCs w:val="24"/>
        </w:rPr>
        <w:t>32</w:t>
      </w:r>
      <w:r w:rsidRPr="00A56431">
        <w:rPr>
          <w:b/>
          <w:sz w:val="24"/>
          <w:szCs w:val="24"/>
          <w:vertAlign w:val="superscript"/>
        </w:rPr>
        <w:t>)</w:t>
      </w:r>
    </w:p>
    <w:p w:rsidR="00A56431" w:rsidRPr="00A56431" w:rsidRDefault="00A56431" w:rsidP="00A56431">
      <w:pPr>
        <w:pStyle w:val="Texto"/>
        <w:spacing w:line="276" w:lineRule="auto"/>
        <w:rPr>
          <w:sz w:val="24"/>
          <w:szCs w:val="24"/>
        </w:rPr>
      </w:pPr>
      <w:r w:rsidRPr="00A56431">
        <w:rPr>
          <w:sz w:val="24"/>
          <w:szCs w:val="24"/>
        </w:rPr>
        <w:t>Uno de cada cuatro errores de medicación notificados en los Estados Unidos, se debe a confusión en el nombre del medicamento</w:t>
      </w:r>
      <w:proofErr w:type="gramStart"/>
      <w:r w:rsidRPr="00A56431">
        <w:rPr>
          <w:sz w:val="24"/>
          <w:szCs w:val="24"/>
        </w:rPr>
        <w:t>.</w:t>
      </w:r>
      <w:r w:rsidRPr="00A56431">
        <w:rPr>
          <w:b/>
          <w:sz w:val="24"/>
          <w:szCs w:val="24"/>
          <w:vertAlign w:val="superscript"/>
        </w:rPr>
        <w:t>(</w:t>
      </w:r>
      <w:proofErr w:type="gramEnd"/>
      <w:r w:rsidRPr="00A56431">
        <w:rPr>
          <w:b/>
          <w:sz w:val="24"/>
          <w:szCs w:val="24"/>
        </w:rPr>
        <w:t>33</w:t>
      </w:r>
      <w:r w:rsidRPr="00A56431">
        <w:rPr>
          <w:b/>
          <w:sz w:val="24"/>
          <w:szCs w:val="24"/>
          <w:vertAlign w:val="superscript"/>
        </w:rPr>
        <w:t>)</w:t>
      </w:r>
    </w:p>
    <w:p w:rsidR="00A56431" w:rsidRPr="00A56431" w:rsidRDefault="00A56431" w:rsidP="00A56431">
      <w:pPr>
        <w:pStyle w:val="Texto"/>
        <w:spacing w:line="276" w:lineRule="auto"/>
        <w:rPr>
          <w:sz w:val="24"/>
          <w:szCs w:val="24"/>
        </w:rPr>
      </w:pPr>
      <w:r w:rsidRPr="00A56431">
        <w:rPr>
          <w:sz w:val="24"/>
          <w:szCs w:val="24"/>
        </w:rPr>
        <w:t xml:space="preserve">Los resultados del proyecto IBEAS mostraron que en algunos países, uno de cada diez ingresos en el hospital es debido a reacciones adversas a medicamentos </w:t>
      </w:r>
      <w:r w:rsidRPr="00A56431">
        <w:rPr>
          <w:b/>
          <w:sz w:val="24"/>
          <w:szCs w:val="24"/>
          <w:vertAlign w:val="superscript"/>
        </w:rPr>
        <w:t>(</w:t>
      </w:r>
      <w:r w:rsidRPr="00A56431">
        <w:rPr>
          <w:b/>
          <w:sz w:val="24"/>
          <w:szCs w:val="24"/>
        </w:rPr>
        <w:t>34</w:t>
      </w:r>
      <w:r w:rsidRPr="00A56431">
        <w:rPr>
          <w:b/>
          <w:sz w:val="24"/>
          <w:szCs w:val="24"/>
          <w:vertAlign w:val="superscript"/>
        </w:rPr>
        <w:t>)</w:t>
      </w:r>
      <w:r w:rsidRPr="00A56431">
        <w:rPr>
          <w:sz w:val="24"/>
          <w:szCs w:val="24"/>
        </w:rPr>
        <w:t xml:space="preserve"> y el capítulo México del mismo estudio, refiere que el 8.2% de los eventos adversos detectados estaban relacionados con el uso de medicamentos</w:t>
      </w:r>
      <w:proofErr w:type="gramStart"/>
      <w:r w:rsidRPr="00A56431">
        <w:rPr>
          <w:sz w:val="24"/>
          <w:szCs w:val="24"/>
        </w:rPr>
        <w:t>.</w:t>
      </w:r>
      <w:r w:rsidRPr="00A56431">
        <w:rPr>
          <w:b/>
          <w:sz w:val="24"/>
          <w:szCs w:val="24"/>
        </w:rPr>
        <w:t>.</w:t>
      </w:r>
      <w:proofErr w:type="gramEnd"/>
      <w:r w:rsidRPr="00A56431">
        <w:rPr>
          <w:b/>
          <w:sz w:val="24"/>
          <w:szCs w:val="24"/>
          <w:vertAlign w:val="superscript"/>
        </w:rPr>
        <w:t>(</w:t>
      </w:r>
      <w:r w:rsidRPr="00A56431">
        <w:rPr>
          <w:b/>
          <w:sz w:val="24"/>
          <w:szCs w:val="24"/>
        </w:rPr>
        <w:t>35</w:t>
      </w:r>
      <w:r w:rsidRPr="00A56431">
        <w:rPr>
          <w:b/>
          <w:sz w:val="24"/>
          <w:szCs w:val="24"/>
          <w:vertAlign w:val="superscript"/>
        </w:rPr>
        <w:t>)</w:t>
      </w:r>
    </w:p>
    <w:p w:rsidR="00A56431" w:rsidRPr="00A56431" w:rsidRDefault="00A56431" w:rsidP="00A56431">
      <w:pPr>
        <w:pStyle w:val="Texto"/>
        <w:spacing w:line="276" w:lineRule="auto"/>
        <w:rPr>
          <w:sz w:val="24"/>
          <w:szCs w:val="24"/>
        </w:rPr>
      </w:pPr>
      <w:r w:rsidRPr="00A56431">
        <w:rPr>
          <w:sz w:val="24"/>
          <w:szCs w:val="24"/>
        </w:rPr>
        <w:t xml:space="preserve">La Alianza Mundial para la Seguridad del Paciente, refiere en su documento titulado "Soluciones para la seguridad del paciente", que todos los medicamentos, productos biológicos, vacunas y medios de contraste tienen un determinado riesgo, pero que las soluciones concentradas de electrólitos son particularmente peligrosas y en la mayoría de las veces no es posible revertir los efectos que causa la inadecuada administración de estos medicamentos </w:t>
      </w:r>
      <w:r w:rsidRPr="00A56431">
        <w:rPr>
          <w:b/>
          <w:sz w:val="24"/>
          <w:szCs w:val="24"/>
          <w:vertAlign w:val="superscript"/>
        </w:rPr>
        <w:t>(</w:t>
      </w:r>
      <w:r w:rsidRPr="00A56431">
        <w:rPr>
          <w:b/>
          <w:sz w:val="24"/>
          <w:szCs w:val="24"/>
        </w:rPr>
        <w:t>36</w:t>
      </w:r>
      <w:r w:rsidRPr="00A56431">
        <w:rPr>
          <w:b/>
          <w:sz w:val="24"/>
          <w:szCs w:val="24"/>
          <w:vertAlign w:val="superscript"/>
        </w:rPr>
        <w:t>)</w:t>
      </w:r>
      <w:r w:rsidRPr="00A56431">
        <w:rPr>
          <w:sz w:val="24"/>
          <w:szCs w:val="24"/>
        </w:rPr>
        <w:t xml:space="preserve"> (Anexos 1</w:t>
      </w:r>
      <w:r w:rsidRPr="00A56431">
        <w:rPr>
          <w:b/>
          <w:sz w:val="24"/>
          <w:szCs w:val="24"/>
          <w:vertAlign w:val="superscript"/>
        </w:rPr>
        <w:t>(</w:t>
      </w:r>
      <w:r w:rsidRPr="00A56431">
        <w:rPr>
          <w:b/>
          <w:sz w:val="24"/>
          <w:szCs w:val="24"/>
        </w:rPr>
        <w:t>44</w:t>
      </w:r>
      <w:r w:rsidRPr="00A56431">
        <w:rPr>
          <w:b/>
          <w:sz w:val="24"/>
          <w:szCs w:val="24"/>
          <w:vertAlign w:val="superscript"/>
        </w:rPr>
        <w:t>-</w:t>
      </w:r>
      <w:r w:rsidRPr="00A56431">
        <w:rPr>
          <w:b/>
          <w:sz w:val="24"/>
          <w:szCs w:val="24"/>
        </w:rPr>
        <w:t>45</w:t>
      </w:r>
      <w:r w:rsidRPr="00A56431">
        <w:rPr>
          <w:b/>
          <w:sz w:val="24"/>
          <w:szCs w:val="24"/>
          <w:vertAlign w:val="superscript"/>
        </w:rPr>
        <w:t>-</w:t>
      </w:r>
      <w:r w:rsidRPr="00A56431">
        <w:rPr>
          <w:b/>
          <w:sz w:val="24"/>
          <w:szCs w:val="24"/>
        </w:rPr>
        <w:t>46</w:t>
      </w:r>
      <w:r w:rsidRPr="00A56431">
        <w:rPr>
          <w:b/>
          <w:sz w:val="24"/>
          <w:szCs w:val="24"/>
          <w:vertAlign w:val="superscript"/>
        </w:rPr>
        <w:t>)</w:t>
      </w:r>
      <w:r w:rsidRPr="00A56431">
        <w:rPr>
          <w:sz w:val="24"/>
          <w:szCs w:val="24"/>
        </w:rPr>
        <w:t xml:space="preserve"> y 2 </w:t>
      </w:r>
      <w:r w:rsidRPr="00A56431">
        <w:rPr>
          <w:b/>
          <w:sz w:val="24"/>
          <w:szCs w:val="24"/>
          <w:vertAlign w:val="superscript"/>
        </w:rPr>
        <w:t>(</w:t>
      </w:r>
      <w:r w:rsidRPr="00A56431">
        <w:rPr>
          <w:b/>
          <w:sz w:val="24"/>
          <w:szCs w:val="24"/>
        </w:rPr>
        <w:t>47</w:t>
      </w:r>
      <w:r w:rsidRPr="00A56431">
        <w:rPr>
          <w:b/>
          <w:sz w:val="24"/>
          <w:szCs w:val="24"/>
          <w:vertAlign w:val="superscript"/>
        </w:rPr>
        <w:t>)</w:t>
      </w:r>
      <w:r w:rsidRPr="00A56431">
        <w:rPr>
          <w:sz w:val="24"/>
          <w:szCs w:val="24"/>
        </w:rPr>
        <w:t>).</w:t>
      </w:r>
    </w:p>
    <w:p w:rsidR="00A56431" w:rsidRPr="00A56431" w:rsidRDefault="00A56431" w:rsidP="00A56431">
      <w:pPr>
        <w:pStyle w:val="Texto"/>
        <w:spacing w:line="276" w:lineRule="auto"/>
        <w:rPr>
          <w:sz w:val="24"/>
          <w:szCs w:val="24"/>
        </w:rPr>
      </w:pPr>
      <w:r w:rsidRPr="00A56431">
        <w:rPr>
          <w:sz w:val="24"/>
          <w:szCs w:val="24"/>
        </w:rPr>
        <w:t xml:space="preserve">En este sentido, la Alianza Mundial por la Seguridad del Paciente, recomienda como puntos fundamentales una adecuada planificación de la disponibilidad, el acceso, la prescripción, la preparación, la distribución, el etiquetado, la verificación, la administración y el control de los medicamentos, productos biológicos, vacunas y medios de contraste tienen un determinado riesgo, de modo tal que se puedan evitar y eliminar los posibles eventos adversos. </w:t>
      </w:r>
      <w:r w:rsidRPr="00A56431">
        <w:rPr>
          <w:b/>
          <w:sz w:val="24"/>
          <w:szCs w:val="24"/>
          <w:vertAlign w:val="superscript"/>
        </w:rPr>
        <w:t>(</w:t>
      </w:r>
      <w:r w:rsidRPr="00A56431">
        <w:rPr>
          <w:b/>
          <w:sz w:val="24"/>
          <w:szCs w:val="24"/>
        </w:rPr>
        <w:t>36</w:t>
      </w:r>
      <w:r w:rsidRPr="00A56431">
        <w:rPr>
          <w:b/>
          <w:sz w:val="24"/>
          <w:szCs w:val="24"/>
          <w:vertAlign w:val="superscript"/>
        </w:rPr>
        <w:t>)</w:t>
      </w:r>
    </w:p>
    <w:p w:rsidR="00A56431" w:rsidRPr="00A56431" w:rsidRDefault="00A56431" w:rsidP="00A56431">
      <w:pPr>
        <w:pStyle w:val="Texto"/>
        <w:spacing w:line="276" w:lineRule="auto"/>
        <w:rPr>
          <w:sz w:val="24"/>
          <w:szCs w:val="24"/>
        </w:rPr>
      </w:pPr>
      <w:r w:rsidRPr="00A56431">
        <w:rPr>
          <w:sz w:val="24"/>
          <w:szCs w:val="24"/>
        </w:rPr>
        <w:t xml:space="preserve">La gestión de la medicación abarca el sistema y los procesos que emplea una organización para administrar farmacoterapias a sus pacientes, lo que requiere una participación multidisciplinaria y coordinada del personal de una organización de atención médica, para seleccionar, adquirir, almacenar, recetar, transcribir, distribuir, preparar, dispensar, administrar, documentar y controlar las terapias con medicamentos. </w:t>
      </w:r>
      <w:r w:rsidRPr="00A56431">
        <w:rPr>
          <w:b/>
          <w:sz w:val="24"/>
          <w:szCs w:val="24"/>
          <w:vertAlign w:val="superscript"/>
        </w:rPr>
        <w:t>(</w:t>
      </w:r>
      <w:r w:rsidRPr="00A56431">
        <w:rPr>
          <w:b/>
          <w:sz w:val="24"/>
          <w:szCs w:val="24"/>
        </w:rPr>
        <w:t>37</w:t>
      </w:r>
      <w:r w:rsidRPr="00A56431">
        <w:rPr>
          <w:b/>
          <w:sz w:val="24"/>
          <w:szCs w:val="24"/>
          <w:vertAlign w:val="superscript"/>
        </w:rPr>
        <w:t>)</w:t>
      </w:r>
    </w:p>
    <w:p w:rsidR="00A56431" w:rsidRPr="00A56431" w:rsidRDefault="00A56431" w:rsidP="00A56431">
      <w:pPr>
        <w:pStyle w:val="Texto"/>
        <w:spacing w:line="276" w:lineRule="auto"/>
        <w:rPr>
          <w:b/>
          <w:sz w:val="24"/>
          <w:szCs w:val="24"/>
        </w:rPr>
      </w:pPr>
      <w:r w:rsidRPr="00A56431">
        <w:rPr>
          <w:b/>
          <w:sz w:val="24"/>
          <w:szCs w:val="24"/>
        </w:rPr>
        <w:t>Objetivo general</w:t>
      </w:r>
    </w:p>
    <w:p w:rsidR="00A56431" w:rsidRPr="00A56431" w:rsidRDefault="00A56431" w:rsidP="00A56431">
      <w:pPr>
        <w:pStyle w:val="Texto"/>
        <w:spacing w:line="276" w:lineRule="auto"/>
        <w:rPr>
          <w:b/>
          <w:sz w:val="24"/>
          <w:szCs w:val="24"/>
        </w:rPr>
      </w:pPr>
      <w:r w:rsidRPr="00A56431">
        <w:rPr>
          <w:b/>
          <w:sz w:val="24"/>
          <w:szCs w:val="24"/>
        </w:rPr>
        <w:t>Fortalecer las acciones relacionadas con el almacenamiento, la prescripción, transcripción, dispensación y administración de medicamentos, para prevenir errores que puedan dañar a los pacientes, derivados del proceso de medicación en los establecimientos del Sistema Nacional de Salud.</w:t>
      </w:r>
    </w:p>
    <w:p w:rsidR="00A56431" w:rsidRPr="00A56431" w:rsidRDefault="00A56431" w:rsidP="00A56431">
      <w:pPr>
        <w:pStyle w:val="Texto"/>
        <w:spacing w:line="276" w:lineRule="auto"/>
        <w:rPr>
          <w:b/>
          <w:sz w:val="24"/>
          <w:szCs w:val="24"/>
        </w:rPr>
      </w:pPr>
      <w:r w:rsidRPr="00A56431">
        <w:rPr>
          <w:b/>
          <w:sz w:val="24"/>
          <w:szCs w:val="24"/>
        </w:rPr>
        <w:lastRenderedPageBreak/>
        <w:t>Acción Esencial 3 A</w:t>
      </w:r>
    </w:p>
    <w:p w:rsidR="00A56431" w:rsidRPr="00A56431" w:rsidRDefault="00A56431" w:rsidP="00A56431">
      <w:pPr>
        <w:pStyle w:val="Texto"/>
        <w:spacing w:line="276" w:lineRule="auto"/>
        <w:rPr>
          <w:i/>
          <w:sz w:val="24"/>
          <w:szCs w:val="24"/>
        </w:rPr>
      </w:pPr>
      <w:r w:rsidRPr="00A56431">
        <w:rPr>
          <w:i/>
          <w:sz w:val="24"/>
          <w:szCs w:val="24"/>
        </w:rPr>
        <w:t>De la adquisición y almacenamiento de medicamentos de alto riesgo y electrolitos concentrados.</w:t>
      </w:r>
    </w:p>
    <w:p w:rsidR="00A56431" w:rsidRPr="00A56431" w:rsidRDefault="00A56431" w:rsidP="00A56431">
      <w:pPr>
        <w:pStyle w:val="Texto"/>
        <w:spacing w:line="276" w:lineRule="auto"/>
        <w:rPr>
          <w:b/>
          <w:sz w:val="24"/>
          <w:szCs w:val="24"/>
        </w:rPr>
      </w:pPr>
      <w:r w:rsidRPr="00A56431">
        <w:rPr>
          <w:b/>
          <w:sz w:val="24"/>
          <w:szCs w:val="24"/>
        </w:rPr>
        <w:t>Acción Esencial 3 A 1</w:t>
      </w:r>
    </w:p>
    <w:p w:rsidR="00A56431" w:rsidRPr="00A56431" w:rsidRDefault="00A56431" w:rsidP="00A56431">
      <w:pPr>
        <w:pStyle w:val="Texto"/>
        <w:spacing w:line="276" w:lineRule="auto"/>
        <w:rPr>
          <w:i/>
          <w:sz w:val="24"/>
          <w:szCs w:val="24"/>
        </w:rPr>
      </w:pPr>
      <w:r w:rsidRPr="00A56431">
        <w:rPr>
          <w:i/>
          <w:sz w:val="24"/>
          <w:szCs w:val="24"/>
        </w:rPr>
        <w:t>De la adquisición de electrolitos concentrados.</w:t>
      </w:r>
    </w:p>
    <w:p w:rsidR="00A56431" w:rsidRPr="00A56431" w:rsidRDefault="00A56431" w:rsidP="00A56431">
      <w:pPr>
        <w:pStyle w:val="Texto"/>
        <w:numPr>
          <w:ilvl w:val="0"/>
          <w:numId w:val="6"/>
        </w:numPr>
        <w:spacing w:line="276" w:lineRule="auto"/>
        <w:ind w:left="648"/>
        <w:rPr>
          <w:i/>
          <w:sz w:val="24"/>
          <w:szCs w:val="24"/>
        </w:rPr>
      </w:pPr>
      <w:r w:rsidRPr="00A56431">
        <w:rPr>
          <w:i/>
          <w:sz w:val="24"/>
          <w:szCs w:val="24"/>
        </w:rPr>
        <w:t>La adquisición de los electrolitos concentrados debe cumplir con lo estipulado para el etiquetado de los mismos de acuerdo a la Norma Oficial Mexicana NOM-072-SSA1-2012, Etiquetado de medicamentos y remedios herbolarios.</w:t>
      </w:r>
      <w:r w:rsidRPr="00A56431">
        <w:rPr>
          <w:b/>
          <w:sz w:val="24"/>
          <w:szCs w:val="24"/>
        </w:rPr>
        <w:t xml:space="preserve"> </w:t>
      </w:r>
      <w:r w:rsidRPr="00A56431">
        <w:rPr>
          <w:b/>
          <w:sz w:val="24"/>
          <w:szCs w:val="24"/>
          <w:vertAlign w:val="superscript"/>
        </w:rPr>
        <w:t>(</w:t>
      </w:r>
      <w:r w:rsidRPr="00A56431">
        <w:rPr>
          <w:b/>
          <w:sz w:val="24"/>
          <w:szCs w:val="24"/>
        </w:rPr>
        <w:t>41</w:t>
      </w:r>
      <w:r w:rsidRPr="00A56431">
        <w:rPr>
          <w:b/>
          <w:sz w:val="24"/>
          <w:szCs w:val="24"/>
          <w:vertAlign w:val="superscript"/>
        </w:rPr>
        <w:t>)</w:t>
      </w:r>
    </w:p>
    <w:p w:rsidR="00A56431" w:rsidRPr="00A56431" w:rsidRDefault="00A56431" w:rsidP="00A56431">
      <w:pPr>
        <w:pStyle w:val="Texto"/>
        <w:spacing w:line="276" w:lineRule="auto"/>
        <w:ind w:left="648" w:firstLine="0"/>
        <w:rPr>
          <w:sz w:val="24"/>
          <w:szCs w:val="24"/>
        </w:rPr>
      </w:pPr>
      <w:r w:rsidRPr="00A56431">
        <w:rPr>
          <w:sz w:val="24"/>
          <w:szCs w:val="24"/>
        </w:rPr>
        <w:t>a) Color azul para bicarbonato de sodio 7.5%.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b) Color verde para sulfato de magnesio 10%.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 xml:space="preserve">c) Color amarillo para </w:t>
      </w:r>
      <w:proofErr w:type="spellStart"/>
      <w:r w:rsidRPr="00A56431">
        <w:rPr>
          <w:sz w:val="24"/>
          <w:szCs w:val="24"/>
        </w:rPr>
        <w:t>gluconato</w:t>
      </w:r>
      <w:proofErr w:type="spellEnd"/>
      <w:r w:rsidRPr="00A56431">
        <w:rPr>
          <w:sz w:val="24"/>
          <w:szCs w:val="24"/>
        </w:rPr>
        <w:t xml:space="preserve"> de calcio 10%.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d) Color rojo para cloruro de potasio 14.9%.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e) Color naranja para fosfato de potasio 15%.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f) Color blanco para cloruro de sodio 17.7%. Solución para uso inyectable en ampolleta con 10 ml.</w:t>
      </w:r>
    </w:p>
    <w:p w:rsidR="00A56431" w:rsidRPr="00A56431" w:rsidRDefault="00A56431" w:rsidP="00A56431">
      <w:pPr>
        <w:pStyle w:val="Texto"/>
        <w:spacing w:line="276" w:lineRule="auto"/>
        <w:rPr>
          <w:b/>
          <w:sz w:val="24"/>
          <w:szCs w:val="24"/>
        </w:rPr>
      </w:pPr>
      <w:r w:rsidRPr="00A56431">
        <w:rPr>
          <w:b/>
          <w:sz w:val="24"/>
          <w:szCs w:val="24"/>
        </w:rPr>
        <w:t>Acción Esencial 3 A 2</w:t>
      </w:r>
    </w:p>
    <w:p w:rsidR="00A56431" w:rsidRPr="00A56431" w:rsidRDefault="00A56431" w:rsidP="00A56431">
      <w:pPr>
        <w:pStyle w:val="Texto"/>
        <w:spacing w:line="276" w:lineRule="auto"/>
        <w:rPr>
          <w:i/>
          <w:sz w:val="24"/>
          <w:szCs w:val="24"/>
        </w:rPr>
      </w:pPr>
      <w:r w:rsidRPr="00A56431">
        <w:rPr>
          <w:i/>
          <w:sz w:val="24"/>
          <w:szCs w:val="24"/>
        </w:rPr>
        <w:t>De la alerta visual para medicamentos de alto riesgo.</w:t>
      </w:r>
    </w:p>
    <w:p w:rsidR="00A56431" w:rsidRPr="00A56431" w:rsidRDefault="00A56431" w:rsidP="00A56431">
      <w:pPr>
        <w:pStyle w:val="Texto"/>
        <w:numPr>
          <w:ilvl w:val="0"/>
          <w:numId w:val="6"/>
        </w:numPr>
        <w:spacing w:line="276" w:lineRule="auto"/>
        <w:ind w:left="648"/>
        <w:rPr>
          <w:i/>
          <w:sz w:val="24"/>
          <w:szCs w:val="24"/>
        </w:rPr>
      </w:pPr>
      <w:r w:rsidRPr="00A56431">
        <w:rPr>
          <w:i/>
          <w:sz w:val="24"/>
          <w:szCs w:val="24"/>
        </w:rPr>
        <w:t>Los medicamentos de alto riesgo deberán estar etiquetados con un círculo rojo y resguardado como de alto riesgo.</w:t>
      </w:r>
    </w:p>
    <w:p w:rsidR="00A56431" w:rsidRPr="00A56431" w:rsidRDefault="00A56431" w:rsidP="00A56431">
      <w:pPr>
        <w:pStyle w:val="Texto"/>
        <w:spacing w:line="276" w:lineRule="auto"/>
        <w:rPr>
          <w:b/>
          <w:sz w:val="24"/>
          <w:szCs w:val="24"/>
        </w:rPr>
      </w:pPr>
      <w:r w:rsidRPr="00A56431">
        <w:rPr>
          <w:b/>
          <w:sz w:val="24"/>
          <w:szCs w:val="24"/>
        </w:rPr>
        <w:t>Acción Esencial 3 A 3</w:t>
      </w:r>
    </w:p>
    <w:p w:rsidR="00A56431" w:rsidRPr="00A56431" w:rsidRDefault="00A56431" w:rsidP="00A56431">
      <w:pPr>
        <w:pStyle w:val="Texto"/>
        <w:spacing w:line="276" w:lineRule="auto"/>
        <w:rPr>
          <w:i/>
          <w:sz w:val="24"/>
          <w:szCs w:val="24"/>
        </w:rPr>
      </w:pPr>
      <w:r w:rsidRPr="00A56431">
        <w:rPr>
          <w:i/>
          <w:sz w:val="24"/>
          <w:szCs w:val="24"/>
        </w:rPr>
        <w:t>Del almacenamiento general de los medicamentos y electrolitos concentrados.</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Los medicamentos y electrolitos concentrados deben ser almacenados en un lugar seguro y con las condiciones ambientales que el laboratorio farmacéutico indique.</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personal responsable del almacenamiento de los medicamentos, asegurará el etiquetado y resguardo de los medicamentos de alto riesgo, los cuales deben ser marcados con un círculo color rojo en el almacén de farmacia para ser calificado como medicamento de alto riesgo.</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 xml:space="preserve">En los lugares donde se almacenen electrolitos concentrados, se debe colocar en un lugar visible el código de colores que corresponden al etiquetado de los </w:t>
      </w:r>
      <w:r w:rsidRPr="00A56431">
        <w:rPr>
          <w:sz w:val="24"/>
          <w:szCs w:val="24"/>
        </w:rPr>
        <w:lastRenderedPageBreak/>
        <w:t xml:space="preserve">electrolitos concentrados, de acuerdo con lo señalado en la Norma Oficial Mexicana NOM-072-SSA1-2012, Etiquetado de medicamentos y remedios herbolarios. </w:t>
      </w:r>
      <w:r w:rsidRPr="00A56431">
        <w:rPr>
          <w:b/>
          <w:sz w:val="24"/>
          <w:szCs w:val="24"/>
          <w:vertAlign w:val="superscript"/>
        </w:rPr>
        <w:t>(</w:t>
      </w:r>
      <w:r w:rsidRPr="00A56431">
        <w:rPr>
          <w:b/>
          <w:sz w:val="24"/>
          <w:szCs w:val="24"/>
        </w:rPr>
        <w:t>41</w:t>
      </w:r>
      <w:r w:rsidRPr="00A56431">
        <w:rPr>
          <w:b/>
          <w:sz w:val="24"/>
          <w:szCs w:val="24"/>
          <w:vertAlign w:val="superscript"/>
        </w:rPr>
        <w:t>)</w:t>
      </w:r>
    </w:p>
    <w:p w:rsidR="00A56431" w:rsidRPr="00A56431" w:rsidRDefault="00A56431" w:rsidP="00A56431">
      <w:pPr>
        <w:pStyle w:val="Texto"/>
        <w:spacing w:line="276" w:lineRule="auto"/>
        <w:ind w:left="648" w:firstLine="0"/>
        <w:rPr>
          <w:sz w:val="24"/>
          <w:szCs w:val="24"/>
        </w:rPr>
      </w:pPr>
      <w:r w:rsidRPr="00A56431">
        <w:rPr>
          <w:sz w:val="24"/>
          <w:szCs w:val="24"/>
        </w:rPr>
        <w:t>a) Color azul para bicarbonato de sodio 7.5%.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b) Color verde para sulfato de magnesio 10%.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 xml:space="preserve">c) Color amarillo para </w:t>
      </w:r>
      <w:proofErr w:type="spellStart"/>
      <w:r w:rsidRPr="00A56431">
        <w:rPr>
          <w:sz w:val="24"/>
          <w:szCs w:val="24"/>
        </w:rPr>
        <w:t>gluconato</w:t>
      </w:r>
      <w:proofErr w:type="spellEnd"/>
      <w:r w:rsidRPr="00A56431">
        <w:rPr>
          <w:sz w:val="24"/>
          <w:szCs w:val="24"/>
        </w:rPr>
        <w:t xml:space="preserve"> de calcio 10%.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d) Color rojo para cloruro de potasio 14.9%.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e) Color naranja para fosfato de potasio 15%. Solución para uso inyectable en ampolleta con 10 ml.</w:t>
      </w:r>
    </w:p>
    <w:p w:rsidR="00A56431" w:rsidRPr="00A56431" w:rsidRDefault="00A56431" w:rsidP="00A56431">
      <w:pPr>
        <w:pStyle w:val="Texto"/>
        <w:spacing w:line="276" w:lineRule="auto"/>
        <w:ind w:left="648" w:firstLine="0"/>
        <w:rPr>
          <w:sz w:val="24"/>
          <w:szCs w:val="24"/>
        </w:rPr>
      </w:pPr>
      <w:r w:rsidRPr="00A56431">
        <w:rPr>
          <w:sz w:val="24"/>
          <w:szCs w:val="24"/>
        </w:rPr>
        <w:t>f) Color blanco para cloruro de sodio 17.7%. Solución para uso inyectable en ampolleta con 10 ml.</w:t>
      </w:r>
    </w:p>
    <w:p w:rsidR="00A56431" w:rsidRPr="00A56431" w:rsidRDefault="00A56431" w:rsidP="00A56431">
      <w:pPr>
        <w:pStyle w:val="Texto"/>
        <w:spacing w:line="276" w:lineRule="auto"/>
        <w:rPr>
          <w:b/>
          <w:sz w:val="24"/>
          <w:szCs w:val="24"/>
        </w:rPr>
      </w:pPr>
      <w:r w:rsidRPr="00A56431">
        <w:rPr>
          <w:b/>
          <w:sz w:val="24"/>
          <w:szCs w:val="24"/>
        </w:rPr>
        <w:t>Acción Esencial 3 B</w:t>
      </w:r>
    </w:p>
    <w:p w:rsidR="00A56431" w:rsidRPr="00A56431" w:rsidRDefault="00A56431" w:rsidP="00A56431">
      <w:pPr>
        <w:pStyle w:val="Texto"/>
        <w:spacing w:line="276" w:lineRule="auto"/>
        <w:rPr>
          <w:i/>
          <w:sz w:val="24"/>
          <w:szCs w:val="24"/>
        </w:rPr>
      </w:pPr>
      <w:r w:rsidRPr="00A56431">
        <w:rPr>
          <w:i/>
          <w:sz w:val="24"/>
          <w:szCs w:val="24"/>
        </w:rPr>
        <w:t xml:space="preserve">De la prescripción. </w:t>
      </w:r>
      <w:r w:rsidRPr="00A56431">
        <w:rPr>
          <w:b/>
          <w:i/>
          <w:sz w:val="24"/>
          <w:szCs w:val="24"/>
          <w:vertAlign w:val="superscript"/>
        </w:rPr>
        <w:t>(</w:t>
      </w:r>
      <w:r w:rsidRPr="00A56431">
        <w:rPr>
          <w:b/>
          <w:i/>
          <w:sz w:val="24"/>
          <w:szCs w:val="24"/>
        </w:rPr>
        <w:t>38</w:t>
      </w:r>
      <w:r w:rsidRPr="00A56431">
        <w:rPr>
          <w:b/>
          <w:i/>
          <w:sz w:val="24"/>
          <w:szCs w:val="24"/>
          <w:vertAlign w:val="superscript"/>
        </w:rPr>
        <w:t>-</w:t>
      </w:r>
      <w:r w:rsidRPr="00A56431">
        <w:rPr>
          <w:b/>
          <w:i/>
          <w:sz w:val="24"/>
          <w:szCs w:val="24"/>
        </w:rPr>
        <w:t>39</w:t>
      </w:r>
      <w:r w:rsidRPr="00A56431">
        <w:rPr>
          <w:b/>
          <w:i/>
          <w:sz w:val="24"/>
          <w:szCs w:val="24"/>
          <w:vertAlign w:val="superscript"/>
        </w:rPr>
        <w:t>-</w:t>
      </w:r>
      <w:r w:rsidRPr="00A56431">
        <w:rPr>
          <w:b/>
          <w:i/>
          <w:sz w:val="24"/>
          <w:szCs w:val="24"/>
        </w:rPr>
        <w:t>40</w:t>
      </w:r>
      <w:r w:rsidRPr="00A56431">
        <w:rPr>
          <w:b/>
          <w:i/>
          <w:sz w:val="24"/>
          <w:szCs w:val="24"/>
          <w:vertAlign w:val="superscript"/>
        </w:rPr>
        <w:t>)</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Los médicos del establecimiento deben escribir la prescripción médica en el expediente del paciente y en la receta médica, con letra clara, legible sin abreviaturas, sin enmendaduras ni tachaduras, de acuerdo a las acciones mencionadas para mejorar la Comunicación Efectiva.</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La receta debe contener:</w:t>
      </w:r>
    </w:p>
    <w:p w:rsidR="00A56431" w:rsidRPr="00A56431" w:rsidRDefault="00A56431" w:rsidP="00A56431">
      <w:pPr>
        <w:pStyle w:val="Texto"/>
        <w:spacing w:line="276" w:lineRule="auto"/>
        <w:ind w:left="1080" w:hanging="432"/>
        <w:rPr>
          <w:sz w:val="24"/>
          <w:szCs w:val="24"/>
        </w:rPr>
      </w:pPr>
      <w:r w:rsidRPr="00A56431">
        <w:rPr>
          <w:sz w:val="24"/>
          <w:szCs w:val="24"/>
        </w:rPr>
        <w:t>a.</w:t>
      </w:r>
      <w:r w:rsidRPr="00A56431">
        <w:rPr>
          <w:sz w:val="24"/>
          <w:szCs w:val="24"/>
        </w:rPr>
        <w:tab/>
        <w:t>Impreso el nombre y domicilio del establecimiento.</w:t>
      </w:r>
    </w:p>
    <w:p w:rsidR="00A56431" w:rsidRPr="00A56431" w:rsidRDefault="00A56431" w:rsidP="00A56431">
      <w:pPr>
        <w:pStyle w:val="Texto"/>
        <w:spacing w:line="276" w:lineRule="auto"/>
        <w:ind w:left="1080" w:hanging="432"/>
        <w:rPr>
          <w:sz w:val="24"/>
          <w:szCs w:val="24"/>
        </w:rPr>
      </w:pPr>
      <w:r w:rsidRPr="00A56431">
        <w:rPr>
          <w:sz w:val="24"/>
          <w:szCs w:val="24"/>
        </w:rPr>
        <w:t>b.</w:t>
      </w:r>
      <w:r w:rsidRPr="00A56431">
        <w:rPr>
          <w:sz w:val="24"/>
          <w:szCs w:val="24"/>
        </w:rPr>
        <w:tab/>
        <w:t>El nombre completo, número de cédula profesional y firma autógrafa de quien prescribe.</w:t>
      </w:r>
    </w:p>
    <w:p w:rsidR="00A56431" w:rsidRPr="00A56431" w:rsidRDefault="00A56431" w:rsidP="00A56431">
      <w:pPr>
        <w:pStyle w:val="Texto"/>
        <w:spacing w:line="276" w:lineRule="auto"/>
        <w:ind w:left="1080" w:hanging="432"/>
        <w:rPr>
          <w:sz w:val="24"/>
          <w:szCs w:val="24"/>
        </w:rPr>
      </w:pPr>
      <w:r w:rsidRPr="00A56431">
        <w:rPr>
          <w:sz w:val="24"/>
          <w:szCs w:val="24"/>
        </w:rPr>
        <w:t>c.</w:t>
      </w:r>
      <w:r w:rsidRPr="00A56431">
        <w:rPr>
          <w:sz w:val="24"/>
          <w:szCs w:val="24"/>
        </w:rPr>
        <w:tab/>
        <w:t>Fecha de elaboración.</w:t>
      </w:r>
    </w:p>
    <w:p w:rsidR="00A56431" w:rsidRPr="00A56431" w:rsidRDefault="00A56431" w:rsidP="00A56431">
      <w:pPr>
        <w:pStyle w:val="Texto"/>
        <w:spacing w:line="276" w:lineRule="auto"/>
        <w:ind w:left="1080" w:hanging="432"/>
        <w:rPr>
          <w:sz w:val="24"/>
          <w:szCs w:val="24"/>
        </w:rPr>
      </w:pPr>
      <w:r w:rsidRPr="00A56431">
        <w:rPr>
          <w:sz w:val="24"/>
          <w:szCs w:val="24"/>
        </w:rPr>
        <w:t>d.</w:t>
      </w:r>
      <w:r w:rsidRPr="00A56431">
        <w:rPr>
          <w:sz w:val="24"/>
          <w:szCs w:val="24"/>
        </w:rPr>
        <w:tab/>
        <w:t>Nombre completo del paciente y fecha de nacimiento.</w:t>
      </w:r>
    </w:p>
    <w:p w:rsidR="00A56431" w:rsidRPr="00A56431" w:rsidRDefault="00A56431" w:rsidP="00A56431">
      <w:pPr>
        <w:pStyle w:val="Texto"/>
        <w:spacing w:line="276" w:lineRule="auto"/>
        <w:ind w:left="1080" w:hanging="432"/>
        <w:rPr>
          <w:sz w:val="24"/>
          <w:szCs w:val="24"/>
        </w:rPr>
      </w:pPr>
      <w:r w:rsidRPr="00A56431">
        <w:rPr>
          <w:sz w:val="24"/>
          <w:szCs w:val="24"/>
        </w:rPr>
        <w:t>e.</w:t>
      </w:r>
      <w:r w:rsidRPr="00A56431">
        <w:rPr>
          <w:sz w:val="24"/>
          <w:szCs w:val="24"/>
        </w:rPr>
        <w:tab/>
        <w:t>Nombre genérico del medicamento.</w:t>
      </w:r>
    </w:p>
    <w:p w:rsidR="00A56431" w:rsidRPr="00A56431" w:rsidRDefault="00A56431" w:rsidP="00A56431">
      <w:pPr>
        <w:pStyle w:val="Texto"/>
        <w:spacing w:line="276" w:lineRule="auto"/>
        <w:ind w:left="1080" w:hanging="432"/>
        <w:rPr>
          <w:sz w:val="24"/>
          <w:szCs w:val="24"/>
        </w:rPr>
      </w:pPr>
      <w:r w:rsidRPr="00A56431">
        <w:rPr>
          <w:sz w:val="24"/>
          <w:szCs w:val="24"/>
        </w:rPr>
        <w:t>f.</w:t>
      </w:r>
      <w:r w:rsidRPr="00A56431">
        <w:rPr>
          <w:sz w:val="24"/>
          <w:szCs w:val="24"/>
        </w:rPr>
        <w:tab/>
        <w:t>Dosis y presentación del medicamento.</w:t>
      </w:r>
    </w:p>
    <w:p w:rsidR="00A56431" w:rsidRPr="00A56431" w:rsidRDefault="00A56431" w:rsidP="00A56431">
      <w:pPr>
        <w:pStyle w:val="Texto"/>
        <w:spacing w:line="276" w:lineRule="auto"/>
        <w:ind w:left="1080" w:hanging="432"/>
        <w:rPr>
          <w:sz w:val="24"/>
          <w:szCs w:val="24"/>
        </w:rPr>
      </w:pPr>
      <w:r w:rsidRPr="00A56431">
        <w:rPr>
          <w:sz w:val="24"/>
          <w:szCs w:val="24"/>
        </w:rPr>
        <w:t>g.</w:t>
      </w:r>
      <w:r w:rsidRPr="00A56431">
        <w:rPr>
          <w:sz w:val="24"/>
          <w:szCs w:val="24"/>
        </w:rPr>
        <w:tab/>
        <w:t>Frecuencia y vía de administración.</w:t>
      </w:r>
    </w:p>
    <w:p w:rsidR="00A56431" w:rsidRPr="00A56431" w:rsidRDefault="00A56431" w:rsidP="00A56431">
      <w:pPr>
        <w:pStyle w:val="Texto"/>
        <w:spacing w:line="276" w:lineRule="auto"/>
        <w:ind w:left="1080" w:hanging="432"/>
        <w:rPr>
          <w:sz w:val="24"/>
          <w:szCs w:val="24"/>
        </w:rPr>
      </w:pPr>
      <w:r w:rsidRPr="00A56431">
        <w:rPr>
          <w:sz w:val="24"/>
          <w:szCs w:val="24"/>
        </w:rPr>
        <w:t>h.</w:t>
      </w:r>
      <w:r w:rsidRPr="00A56431">
        <w:rPr>
          <w:sz w:val="24"/>
          <w:szCs w:val="24"/>
        </w:rPr>
        <w:tab/>
        <w:t>Duración del tratamiento.</w:t>
      </w:r>
    </w:p>
    <w:p w:rsidR="00A56431" w:rsidRPr="00A56431" w:rsidRDefault="00A56431" w:rsidP="00A56431">
      <w:pPr>
        <w:pStyle w:val="Texto"/>
        <w:spacing w:line="276" w:lineRule="auto"/>
        <w:ind w:left="1080" w:hanging="432"/>
        <w:rPr>
          <w:sz w:val="24"/>
          <w:szCs w:val="24"/>
        </w:rPr>
      </w:pPr>
      <w:r w:rsidRPr="00A56431">
        <w:rPr>
          <w:sz w:val="24"/>
          <w:szCs w:val="24"/>
        </w:rPr>
        <w:t>i.</w:t>
      </w:r>
      <w:r w:rsidRPr="00A56431">
        <w:rPr>
          <w:sz w:val="24"/>
          <w:szCs w:val="24"/>
        </w:rPr>
        <w:tab/>
        <w:t>Indicaciones completas y claras para su administración.</w:t>
      </w:r>
    </w:p>
    <w:p w:rsidR="00A56431" w:rsidRPr="00A56431" w:rsidRDefault="00A56431" w:rsidP="00A56431">
      <w:pPr>
        <w:pStyle w:val="Texto"/>
        <w:spacing w:line="276" w:lineRule="auto"/>
        <w:ind w:left="1080" w:hanging="432"/>
        <w:rPr>
          <w:sz w:val="24"/>
          <w:szCs w:val="24"/>
        </w:rPr>
      </w:pPr>
      <w:r w:rsidRPr="00A56431">
        <w:rPr>
          <w:sz w:val="24"/>
          <w:szCs w:val="24"/>
        </w:rPr>
        <w:t>j.</w:t>
      </w:r>
      <w:r w:rsidRPr="00A56431">
        <w:rPr>
          <w:sz w:val="24"/>
          <w:szCs w:val="24"/>
        </w:rPr>
        <w:tab/>
        <w:t>No debe tener correcciones que pudieran confundir al personal, paciente o farmacéutico.</w:t>
      </w:r>
    </w:p>
    <w:p w:rsidR="00A56431" w:rsidRPr="00A56431" w:rsidRDefault="00A56431" w:rsidP="00A56431">
      <w:pPr>
        <w:pStyle w:val="Texto"/>
        <w:spacing w:line="276" w:lineRule="auto"/>
        <w:ind w:left="1080" w:hanging="432"/>
        <w:rPr>
          <w:sz w:val="24"/>
          <w:szCs w:val="24"/>
        </w:rPr>
      </w:pPr>
      <w:r w:rsidRPr="00A56431">
        <w:rPr>
          <w:sz w:val="24"/>
          <w:szCs w:val="24"/>
        </w:rPr>
        <w:lastRenderedPageBreak/>
        <w:t>k.</w:t>
      </w:r>
      <w:r w:rsidRPr="00A56431">
        <w:rPr>
          <w:sz w:val="24"/>
          <w:szCs w:val="24"/>
        </w:rPr>
        <w:tab/>
        <w:t>No se deben utilizar abreviaturas en dosis, diagnósticos e indicaciones.</w:t>
      </w:r>
    </w:p>
    <w:p w:rsidR="00A56431" w:rsidRPr="00A56431" w:rsidRDefault="00A56431" w:rsidP="00A56431">
      <w:pPr>
        <w:pStyle w:val="Texto"/>
        <w:spacing w:line="276" w:lineRule="auto"/>
        <w:rPr>
          <w:b/>
          <w:i/>
          <w:sz w:val="24"/>
          <w:szCs w:val="24"/>
        </w:rPr>
      </w:pPr>
      <w:r w:rsidRPr="00A56431">
        <w:rPr>
          <w:b/>
          <w:sz w:val="24"/>
          <w:szCs w:val="24"/>
        </w:rPr>
        <w:t>Acción Esencial 3 C</w:t>
      </w:r>
    </w:p>
    <w:p w:rsidR="00A56431" w:rsidRPr="00A56431" w:rsidRDefault="00A56431" w:rsidP="00A56431">
      <w:pPr>
        <w:pStyle w:val="Texto"/>
        <w:spacing w:line="276" w:lineRule="auto"/>
        <w:rPr>
          <w:i/>
          <w:sz w:val="24"/>
          <w:szCs w:val="24"/>
        </w:rPr>
      </w:pPr>
      <w:r w:rsidRPr="00A56431">
        <w:rPr>
          <w:i/>
          <w:sz w:val="24"/>
          <w:szCs w:val="24"/>
        </w:rPr>
        <w:t>De la transcripción.</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personal de enfermería transcribirá en la hoja de enfermería los medicamentos y las indicaciones médicas sin modificar la prescripción original. En caso de duda debe aclararlas con el médico tratante.</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personal de enfermería solicitará el medicamento a la farmacia hospitalaria, para los pacientes hospitalizados. Esta solicitud debe ser clara, legible, sin tachaduras ni enmendaduras.</w:t>
      </w:r>
    </w:p>
    <w:p w:rsidR="00A56431" w:rsidRPr="00A56431" w:rsidRDefault="00A56431" w:rsidP="00A56431">
      <w:pPr>
        <w:pStyle w:val="Texto"/>
        <w:spacing w:line="276" w:lineRule="auto"/>
        <w:rPr>
          <w:b/>
          <w:i/>
          <w:sz w:val="24"/>
          <w:szCs w:val="24"/>
        </w:rPr>
      </w:pPr>
      <w:r w:rsidRPr="00A56431">
        <w:rPr>
          <w:b/>
          <w:sz w:val="24"/>
          <w:szCs w:val="24"/>
        </w:rPr>
        <w:t>Acción Esencial 3 D</w:t>
      </w:r>
    </w:p>
    <w:p w:rsidR="00A56431" w:rsidRPr="00A56431" w:rsidRDefault="00A56431" w:rsidP="00A56431">
      <w:pPr>
        <w:pStyle w:val="Texto"/>
        <w:spacing w:line="276" w:lineRule="auto"/>
        <w:rPr>
          <w:i/>
          <w:sz w:val="24"/>
          <w:szCs w:val="24"/>
        </w:rPr>
      </w:pPr>
      <w:r w:rsidRPr="00A56431">
        <w:rPr>
          <w:i/>
          <w:sz w:val="24"/>
          <w:szCs w:val="24"/>
        </w:rPr>
        <w:t>De la dispensación.</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personal de la farmacia verificará la solicitud de medicamento, antes de entregarlo. En caso de dudas, no debe entregar el medicamento y se pondrá en contacto con el médico que prescribe para realizar la aclaración.</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personal de farmacia entregará el medicamento, realizando previamente la verificación de los medicamentos prescritos y proporcionará la información completa sobre su manejo a quien lo recibe.</w:t>
      </w:r>
    </w:p>
    <w:p w:rsidR="00A56431" w:rsidRPr="00A56431" w:rsidRDefault="00A56431" w:rsidP="00A56431">
      <w:pPr>
        <w:pStyle w:val="Texto"/>
        <w:spacing w:line="276" w:lineRule="auto"/>
        <w:rPr>
          <w:b/>
          <w:i/>
          <w:sz w:val="24"/>
          <w:szCs w:val="24"/>
        </w:rPr>
      </w:pPr>
      <w:r w:rsidRPr="00A56431">
        <w:rPr>
          <w:b/>
          <w:sz w:val="24"/>
          <w:szCs w:val="24"/>
        </w:rPr>
        <w:t>Acción Esencial 3 E</w:t>
      </w:r>
    </w:p>
    <w:p w:rsidR="00A56431" w:rsidRPr="00A56431" w:rsidRDefault="00A56431" w:rsidP="00A56431">
      <w:pPr>
        <w:pStyle w:val="Texto"/>
        <w:spacing w:line="276" w:lineRule="auto"/>
        <w:rPr>
          <w:i/>
          <w:sz w:val="24"/>
          <w:szCs w:val="24"/>
        </w:rPr>
      </w:pPr>
      <w:r w:rsidRPr="00A56431">
        <w:rPr>
          <w:i/>
          <w:sz w:val="24"/>
          <w:szCs w:val="24"/>
        </w:rPr>
        <w:t>De la recepción y almacenamiento de los medicamentos.</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medicamento debe rotularse con el nombre completo del paciente y sus datos de identificación.</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personal de enfermería verificará que los medicamentos correspondan a los prescritos por el personal médico.</w:t>
      </w:r>
    </w:p>
    <w:p w:rsidR="00A56431" w:rsidRPr="00A56431" w:rsidRDefault="00A56431" w:rsidP="00A56431">
      <w:pPr>
        <w:pStyle w:val="Texto"/>
        <w:spacing w:line="276" w:lineRule="auto"/>
        <w:rPr>
          <w:b/>
          <w:i/>
          <w:sz w:val="24"/>
          <w:szCs w:val="24"/>
        </w:rPr>
      </w:pPr>
      <w:r w:rsidRPr="00A56431">
        <w:rPr>
          <w:b/>
          <w:sz w:val="24"/>
          <w:szCs w:val="24"/>
        </w:rPr>
        <w:t>Acción Esencial 3 F</w:t>
      </w:r>
    </w:p>
    <w:p w:rsidR="00A56431" w:rsidRPr="00A56431" w:rsidRDefault="00A56431" w:rsidP="00A56431">
      <w:pPr>
        <w:pStyle w:val="Texto"/>
        <w:spacing w:line="276" w:lineRule="auto"/>
        <w:rPr>
          <w:i/>
          <w:sz w:val="24"/>
          <w:szCs w:val="24"/>
        </w:rPr>
      </w:pPr>
      <w:r w:rsidRPr="00A56431">
        <w:rPr>
          <w:i/>
          <w:sz w:val="24"/>
          <w:szCs w:val="24"/>
        </w:rPr>
        <w:t xml:space="preserve">De la administración. </w:t>
      </w:r>
      <w:r w:rsidRPr="00A56431">
        <w:rPr>
          <w:b/>
          <w:i/>
          <w:sz w:val="24"/>
          <w:szCs w:val="24"/>
          <w:vertAlign w:val="superscript"/>
        </w:rPr>
        <w:t>(</w:t>
      </w:r>
      <w:r w:rsidRPr="00A56431">
        <w:rPr>
          <w:b/>
          <w:i/>
          <w:sz w:val="24"/>
          <w:szCs w:val="24"/>
        </w:rPr>
        <w:t>42</w:t>
      </w:r>
      <w:r w:rsidRPr="00A56431">
        <w:rPr>
          <w:b/>
          <w:i/>
          <w:sz w:val="24"/>
          <w:szCs w:val="24"/>
          <w:vertAlign w:val="superscript"/>
        </w:rPr>
        <w:t>-</w:t>
      </w:r>
      <w:r w:rsidRPr="00A56431">
        <w:rPr>
          <w:b/>
          <w:i/>
          <w:sz w:val="24"/>
          <w:szCs w:val="24"/>
        </w:rPr>
        <w:t>43</w:t>
      </w:r>
      <w:r w:rsidRPr="00A56431">
        <w:rPr>
          <w:b/>
          <w:i/>
          <w:sz w:val="24"/>
          <w:szCs w:val="24"/>
          <w:vertAlign w:val="superscript"/>
        </w:rPr>
        <w:t>)</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Sólo el personal autorizado para ello podrá preparar y administrar los medicamentos.</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No se administrarán medicamentos que carezcan de etiquetas o cuando éstas no sean legibles.</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 xml:space="preserve">El personal de salud debe preguntar al paciente la presencia de alergias y verificará los datos en el identificador personal y la ficha de identificación del paciente, antes de la administración de algún medicamento o </w:t>
      </w:r>
      <w:proofErr w:type="spellStart"/>
      <w:r w:rsidRPr="00A56431">
        <w:rPr>
          <w:sz w:val="24"/>
          <w:szCs w:val="24"/>
        </w:rPr>
        <w:t>hemocomponente</w:t>
      </w:r>
      <w:proofErr w:type="spellEnd"/>
      <w:r w:rsidRPr="00A56431">
        <w:rPr>
          <w:sz w:val="24"/>
          <w:szCs w:val="24"/>
        </w:rPr>
        <w:t>.</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El personal de salud que administre los medicamentos debe verificar:</w:t>
      </w:r>
    </w:p>
    <w:p w:rsidR="00A56431" w:rsidRPr="00A56431" w:rsidRDefault="00A56431" w:rsidP="00A56431">
      <w:pPr>
        <w:pStyle w:val="Texto"/>
        <w:spacing w:line="276" w:lineRule="auto"/>
        <w:ind w:left="1080" w:hanging="432"/>
        <w:rPr>
          <w:sz w:val="24"/>
          <w:szCs w:val="24"/>
        </w:rPr>
      </w:pPr>
      <w:r w:rsidRPr="00A56431">
        <w:rPr>
          <w:i/>
          <w:sz w:val="24"/>
          <w:szCs w:val="24"/>
        </w:rPr>
        <w:lastRenderedPageBreak/>
        <w:t>a)</w:t>
      </w:r>
      <w:r w:rsidRPr="00A56431">
        <w:rPr>
          <w:i/>
          <w:sz w:val="24"/>
          <w:szCs w:val="24"/>
        </w:rPr>
        <w:tab/>
        <w:t>Paciente correcto,</w:t>
      </w:r>
      <w:r w:rsidRPr="00A56431">
        <w:rPr>
          <w:sz w:val="24"/>
          <w:szCs w:val="24"/>
        </w:rPr>
        <w:t xml:space="preserve"> preguntando al paciente su nombre completo y fecha de nacimiento y verificar que éstos coincidan con los datos señalados en el identificador.</w:t>
      </w:r>
    </w:p>
    <w:p w:rsidR="00A56431" w:rsidRPr="00A56431" w:rsidRDefault="00A56431" w:rsidP="00A56431">
      <w:pPr>
        <w:pStyle w:val="Texto"/>
        <w:spacing w:line="276" w:lineRule="auto"/>
        <w:ind w:left="1080" w:hanging="432"/>
        <w:rPr>
          <w:sz w:val="24"/>
          <w:szCs w:val="24"/>
        </w:rPr>
      </w:pPr>
      <w:r w:rsidRPr="00A56431">
        <w:rPr>
          <w:i/>
          <w:sz w:val="24"/>
          <w:szCs w:val="24"/>
        </w:rPr>
        <w:t>b)</w:t>
      </w:r>
      <w:r w:rsidRPr="00A56431">
        <w:rPr>
          <w:i/>
          <w:sz w:val="24"/>
          <w:szCs w:val="24"/>
        </w:rPr>
        <w:tab/>
        <w:t>Medicamento correcto,</w:t>
      </w:r>
      <w:r w:rsidRPr="00A56431">
        <w:rPr>
          <w:sz w:val="24"/>
          <w:szCs w:val="24"/>
        </w:rPr>
        <w:t xml:space="preserve"> identificando siempre el medicamento al retirarlo de la zona de almacenamiento y verificar el nombre del medicamento con las indicaciones del expediente clínico del paciente y con la hoja de enfermería.</w:t>
      </w:r>
    </w:p>
    <w:p w:rsidR="00A56431" w:rsidRPr="00A56431" w:rsidRDefault="00A56431" w:rsidP="00A56431">
      <w:pPr>
        <w:pStyle w:val="Texto"/>
        <w:spacing w:line="276" w:lineRule="auto"/>
        <w:ind w:left="1080" w:hanging="432"/>
        <w:rPr>
          <w:sz w:val="24"/>
          <w:szCs w:val="24"/>
        </w:rPr>
      </w:pPr>
      <w:r w:rsidRPr="00A56431">
        <w:rPr>
          <w:i/>
          <w:sz w:val="24"/>
          <w:szCs w:val="24"/>
        </w:rPr>
        <w:t>c)</w:t>
      </w:r>
      <w:r w:rsidRPr="00A56431">
        <w:rPr>
          <w:i/>
          <w:sz w:val="24"/>
          <w:szCs w:val="24"/>
        </w:rPr>
        <w:tab/>
        <w:t>Dosis correcta,</w:t>
      </w:r>
      <w:r w:rsidRPr="00A56431">
        <w:rPr>
          <w:sz w:val="24"/>
          <w:szCs w:val="24"/>
        </w:rPr>
        <w:t xml:space="preserve"> comprobar en los registros del expediente y en la hoja de enfermería la dosis prescrita.</w:t>
      </w:r>
    </w:p>
    <w:p w:rsidR="00A56431" w:rsidRPr="00A56431" w:rsidRDefault="00A56431" w:rsidP="00A56431">
      <w:pPr>
        <w:pStyle w:val="Texto"/>
        <w:spacing w:line="276" w:lineRule="auto"/>
        <w:ind w:left="1080" w:hanging="432"/>
        <w:rPr>
          <w:sz w:val="24"/>
          <w:szCs w:val="24"/>
        </w:rPr>
      </w:pPr>
      <w:r w:rsidRPr="00A56431">
        <w:rPr>
          <w:i/>
          <w:sz w:val="24"/>
          <w:szCs w:val="24"/>
        </w:rPr>
        <w:t>d)</w:t>
      </w:r>
      <w:r w:rsidRPr="00A56431">
        <w:rPr>
          <w:i/>
          <w:sz w:val="24"/>
          <w:szCs w:val="24"/>
        </w:rPr>
        <w:tab/>
        <w:t>Vía correcta,</w:t>
      </w:r>
      <w:r w:rsidRPr="00A56431">
        <w:rPr>
          <w:sz w:val="24"/>
          <w:szCs w:val="24"/>
        </w:rPr>
        <w:t xml:space="preserve"> confirmar la vía de administración del medicamento indicada en la etiqueta, expediente clínico y la hoja de enfermería.</w:t>
      </w:r>
    </w:p>
    <w:p w:rsidR="00A56431" w:rsidRPr="00A56431" w:rsidRDefault="00A56431" w:rsidP="00A56431">
      <w:pPr>
        <w:pStyle w:val="Texto"/>
        <w:spacing w:line="276" w:lineRule="auto"/>
        <w:ind w:left="1080" w:hanging="432"/>
        <w:rPr>
          <w:sz w:val="24"/>
          <w:szCs w:val="24"/>
        </w:rPr>
      </w:pPr>
      <w:r w:rsidRPr="00A56431">
        <w:rPr>
          <w:i/>
          <w:sz w:val="24"/>
          <w:szCs w:val="24"/>
        </w:rPr>
        <w:t>e)</w:t>
      </w:r>
      <w:r w:rsidRPr="00A56431">
        <w:rPr>
          <w:i/>
          <w:sz w:val="24"/>
          <w:szCs w:val="24"/>
        </w:rPr>
        <w:tab/>
        <w:t>Horario correcto,</w:t>
      </w:r>
      <w:r w:rsidRPr="00A56431">
        <w:rPr>
          <w:sz w:val="24"/>
          <w:szCs w:val="24"/>
        </w:rPr>
        <w:t xml:space="preserve"> confirmar en el expediente clínico y en la hoja de enfermería los intervalos indicados para la administración del medicamento.</w:t>
      </w:r>
    </w:p>
    <w:p w:rsidR="00A56431" w:rsidRPr="00A56431" w:rsidRDefault="00A56431" w:rsidP="00A56431">
      <w:pPr>
        <w:pStyle w:val="Texto"/>
        <w:spacing w:line="276" w:lineRule="auto"/>
        <w:ind w:left="1080" w:hanging="432"/>
        <w:rPr>
          <w:sz w:val="24"/>
          <w:szCs w:val="24"/>
        </w:rPr>
      </w:pPr>
      <w:r w:rsidRPr="00A56431">
        <w:rPr>
          <w:i/>
          <w:sz w:val="24"/>
          <w:szCs w:val="24"/>
        </w:rPr>
        <w:t>f)</w:t>
      </w:r>
      <w:r w:rsidRPr="00A56431">
        <w:rPr>
          <w:i/>
          <w:sz w:val="24"/>
          <w:szCs w:val="24"/>
        </w:rPr>
        <w:tab/>
        <w:t>Registro correcto</w:t>
      </w:r>
      <w:r w:rsidRPr="00A56431">
        <w:rPr>
          <w:sz w:val="24"/>
          <w:szCs w:val="24"/>
        </w:rPr>
        <w:t xml:space="preserve"> de los medicamentos, inmediatamente después de su administración, se deben registrar en el expediente clínico y en la hoja de enfermería el nombre del fármaco, fecha, hora de administración, dosis, vía de administración y nombre de quien la administró.</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Los medicamentos que el paciente trae desde su casa, deben ser resguardados por el personal de enfermería y, en su caso, solicitar indicaciones del médico para aplicarlos.</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Los medicamentos que por indicación médica se suspende su administración, deben ser entregados a la farmacia.</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Las solicitudes de Nutrición Parenteral Total (NPT), deben contar por lo menos con los siguientes datos:</w:t>
      </w:r>
    </w:p>
    <w:p w:rsidR="00A56431" w:rsidRPr="00A56431" w:rsidRDefault="00A56431" w:rsidP="00A56431">
      <w:pPr>
        <w:pStyle w:val="Texto"/>
        <w:spacing w:line="276" w:lineRule="auto"/>
        <w:ind w:left="1080" w:hanging="432"/>
        <w:rPr>
          <w:i/>
          <w:sz w:val="24"/>
          <w:szCs w:val="24"/>
        </w:rPr>
      </w:pPr>
      <w:r w:rsidRPr="00A56431">
        <w:rPr>
          <w:i/>
          <w:sz w:val="24"/>
          <w:szCs w:val="24"/>
        </w:rPr>
        <w:t>a)</w:t>
      </w:r>
      <w:r w:rsidRPr="00A56431">
        <w:rPr>
          <w:i/>
          <w:sz w:val="24"/>
          <w:szCs w:val="24"/>
        </w:rPr>
        <w:tab/>
        <w:t>Nombre completo del paciente y fecha de nacimiento.</w:t>
      </w:r>
    </w:p>
    <w:p w:rsidR="00A56431" w:rsidRPr="00A56431" w:rsidRDefault="00A56431" w:rsidP="00A56431">
      <w:pPr>
        <w:pStyle w:val="Texto"/>
        <w:spacing w:line="276" w:lineRule="auto"/>
        <w:ind w:left="1080" w:hanging="432"/>
        <w:rPr>
          <w:i/>
          <w:sz w:val="24"/>
          <w:szCs w:val="24"/>
        </w:rPr>
      </w:pPr>
      <w:r w:rsidRPr="00A56431">
        <w:rPr>
          <w:i/>
          <w:sz w:val="24"/>
          <w:szCs w:val="24"/>
        </w:rPr>
        <w:t>b)</w:t>
      </w:r>
      <w:r w:rsidRPr="00A56431">
        <w:rPr>
          <w:i/>
          <w:sz w:val="24"/>
          <w:szCs w:val="24"/>
        </w:rPr>
        <w:tab/>
        <w:t>Peso del paciente.</w:t>
      </w:r>
    </w:p>
    <w:p w:rsidR="00A56431" w:rsidRPr="00A56431" w:rsidRDefault="00A56431" w:rsidP="00A56431">
      <w:pPr>
        <w:pStyle w:val="Texto"/>
        <w:spacing w:line="276" w:lineRule="auto"/>
        <w:ind w:left="1080" w:hanging="432"/>
        <w:rPr>
          <w:i/>
          <w:sz w:val="24"/>
          <w:szCs w:val="24"/>
        </w:rPr>
      </w:pPr>
      <w:r w:rsidRPr="00A56431">
        <w:rPr>
          <w:i/>
          <w:sz w:val="24"/>
          <w:szCs w:val="24"/>
        </w:rPr>
        <w:t>c)</w:t>
      </w:r>
      <w:r w:rsidRPr="00A56431">
        <w:rPr>
          <w:i/>
          <w:sz w:val="24"/>
          <w:szCs w:val="24"/>
        </w:rPr>
        <w:tab/>
        <w:t>Número de expediente.</w:t>
      </w:r>
    </w:p>
    <w:p w:rsidR="00A56431" w:rsidRPr="00A56431" w:rsidRDefault="00A56431" w:rsidP="00A56431">
      <w:pPr>
        <w:pStyle w:val="Texto"/>
        <w:spacing w:line="276" w:lineRule="auto"/>
        <w:ind w:left="1080" w:hanging="432"/>
        <w:rPr>
          <w:i/>
          <w:sz w:val="24"/>
          <w:szCs w:val="24"/>
        </w:rPr>
      </w:pPr>
      <w:r w:rsidRPr="00A56431">
        <w:rPr>
          <w:i/>
          <w:sz w:val="24"/>
          <w:szCs w:val="24"/>
        </w:rPr>
        <w:t>d)</w:t>
      </w:r>
      <w:r w:rsidRPr="00A56431">
        <w:rPr>
          <w:i/>
          <w:sz w:val="24"/>
          <w:szCs w:val="24"/>
        </w:rPr>
        <w:tab/>
        <w:t>Servicio que solicita.</w:t>
      </w:r>
    </w:p>
    <w:p w:rsidR="00A56431" w:rsidRPr="00A56431" w:rsidRDefault="00A56431" w:rsidP="00A56431">
      <w:pPr>
        <w:pStyle w:val="Texto"/>
        <w:spacing w:line="276" w:lineRule="auto"/>
        <w:ind w:left="1080" w:hanging="432"/>
        <w:rPr>
          <w:i/>
          <w:sz w:val="24"/>
          <w:szCs w:val="24"/>
        </w:rPr>
      </w:pPr>
      <w:r w:rsidRPr="00A56431">
        <w:rPr>
          <w:i/>
          <w:sz w:val="24"/>
          <w:szCs w:val="24"/>
        </w:rPr>
        <w:t>e)</w:t>
      </w:r>
      <w:r w:rsidRPr="00A56431">
        <w:rPr>
          <w:i/>
          <w:sz w:val="24"/>
          <w:szCs w:val="24"/>
        </w:rPr>
        <w:tab/>
        <w:t>Fecha y hora de solicitud.</w:t>
      </w:r>
    </w:p>
    <w:p w:rsidR="00A56431" w:rsidRPr="00A56431" w:rsidRDefault="00A56431" w:rsidP="00A56431">
      <w:pPr>
        <w:pStyle w:val="Texto"/>
        <w:spacing w:line="276" w:lineRule="auto"/>
        <w:ind w:left="1080" w:hanging="432"/>
        <w:rPr>
          <w:i/>
          <w:sz w:val="24"/>
          <w:szCs w:val="24"/>
        </w:rPr>
      </w:pPr>
      <w:r w:rsidRPr="00A56431">
        <w:rPr>
          <w:i/>
          <w:sz w:val="24"/>
          <w:szCs w:val="24"/>
        </w:rPr>
        <w:t>f)</w:t>
      </w:r>
      <w:r w:rsidRPr="00A56431">
        <w:rPr>
          <w:i/>
          <w:sz w:val="24"/>
          <w:szCs w:val="24"/>
        </w:rPr>
        <w:tab/>
        <w:t>Componentes de la mezcla.</w:t>
      </w:r>
    </w:p>
    <w:p w:rsidR="00A56431" w:rsidRPr="00A56431" w:rsidRDefault="00A56431" w:rsidP="00A56431">
      <w:pPr>
        <w:pStyle w:val="Texto"/>
        <w:spacing w:line="276" w:lineRule="auto"/>
        <w:ind w:left="1080" w:hanging="432"/>
        <w:rPr>
          <w:i/>
          <w:sz w:val="24"/>
          <w:szCs w:val="24"/>
        </w:rPr>
      </w:pPr>
      <w:r w:rsidRPr="00A56431">
        <w:rPr>
          <w:i/>
          <w:sz w:val="24"/>
          <w:szCs w:val="24"/>
        </w:rPr>
        <w:t>g)</w:t>
      </w:r>
      <w:r w:rsidRPr="00A56431">
        <w:rPr>
          <w:i/>
          <w:sz w:val="24"/>
          <w:szCs w:val="24"/>
        </w:rPr>
        <w:tab/>
        <w:t>Glucosa kilo minuto.</w:t>
      </w:r>
    </w:p>
    <w:p w:rsidR="00A56431" w:rsidRPr="00A56431" w:rsidRDefault="00A56431" w:rsidP="00A56431">
      <w:pPr>
        <w:pStyle w:val="Texto"/>
        <w:spacing w:line="276" w:lineRule="auto"/>
        <w:ind w:left="1080" w:hanging="432"/>
        <w:rPr>
          <w:i/>
          <w:sz w:val="24"/>
          <w:szCs w:val="24"/>
        </w:rPr>
      </w:pPr>
      <w:r w:rsidRPr="00A56431">
        <w:rPr>
          <w:i/>
          <w:sz w:val="24"/>
          <w:szCs w:val="24"/>
        </w:rPr>
        <w:t>h)</w:t>
      </w:r>
      <w:r w:rsidRPr="00A56431">
        <w:rPr>
          <w:i/>
          <w:sz w:val="24"/>
          <w:szCs w:val="24"/>
        </w:rPr>
        <w:tab/>
        <w:t>Concentración de la mezcla.</w:t>
      </w:r>
    </w:p>
    <w:p w:rsidR="00A56431" w:rsidRPr="00A56431" w:rsidRDefault="00A56431" w:rsidP="00A56431">
      <w:pPr>
        <w:pStyle w:val="Texto"/>
        <w:spacing w:line="276" w:lineRule="auto"/>
        <w:ind w:left="1080" w:hanging="432"/>
        <w:rPr>
          <w:i/>
          <w:sz w:val="24"/>
          <w:szCs w:val="24"/>
        </w:rPr>
      </w:pPr>
      <w:r w:rsidRPr="00A56431">
        <w:rPr>
          <w:i/>
          <w:sz w:val="24"/>
          <w:szCs w:val="24"/>
        </w:rPr>
        <w:t>i)</w:t>
      </w:r>
      <w:r w:rsidRPr="00A56431">
        <w:rPr>
          <w:i/>
          <w:sz w:val="24"/>
          <w:szCs w:val="24"/>
        </w:rPr>
        <w:tab/>
        <w:t>Calorías Totales.</w:t>
      </w:r>
    </w:p>
    <w:p w:rsidR="00A56431" w:rsidRPr="00A56431" w:rsidRDefault="00A56431" w:rsidP="00A56431">
      <w:pPr>
        <w:pStyle w:val="Texto"/>
        <w:spacing w:line="276" w:lineRule="auto"/>
        <w:ind w:left="1080" w:hanging="432"/>
        <w:rPr>
          <w:i/>
          <w:sz w:val="24"/>
          <w:szCs w:val="24"/>
        </w:rPr>
      </w:pPr>
      <w:r w:rsidRPr="00A56431">
        <w:rPr>
          <w:i/>
          <w:sz w:val="24"/>
          <w:szCs w:val="24"/>
        </w:rPr>
        <w:t>j)</w:t>
      </w:r>
      <w:r w:rsidRPr="00A56431">
        <w:rPr>
          <w:i/>
          <w:sz w:val="24"/>
          <w:szCs w:val="24"/>
        </w:rPr>
        <w:tab/>
        <w:t>Kilocalorías.</w:t>
      </w:r>
    </w:p>
    <w:p w:rsidR="00A56431" w:rsidRPr="00A56431" w:rsidRDefault="00A56431" w:rsidP="00A56431">
      <w:pPr>
        <w:pStyle w:val="Texto"/>
        <w:spacing w:line="276" w:lineRule="auto"/>
        <w:ind w:left="1080" w:hanging="432"/>
        <w:rPr>
          <w:i/>
          <w:sz w:val="24"/>
          <w:szCs w:val="24"/>
        </w:rPr>
      </w:pPr>
      <w:r w:rsidRPr="00A56431">
        <w:rPr>
          <w:i/>
          <w:sz w:val="24"/>
          <w:szCs w:val="24"/>
        </w:rPr>
        <w:t>k)</w:t>
      </w:r>
      <w:r w:rsidRPr="00A56431">
        <w:rPr>
          <w:i/>
          <w:sz w:val="24"/>
          <w:szCs w:val="24"/>
        </w:rPr>
        <w:tab/>
        <w:t>Nombre del médico solicitante.</w:t>
      </w:r>
    </w:p>
    <w:p w:rsidR="00A56431" w:rsidRPr="00A56431" w:rsidRDefault="00A56431" w:rsidP="00A56431">
      <w:pPr>
        <w:pStyle w:val="Texto"/>
        <w:spacing w:line="276" w:lineRule="auto"/>
        <w:ind w:left="1080" w:hanging="432"/>
        <w:rPr>
          <w:i/>
          <w:sz w:val="24"/>
          <w:szCs w:val="24"/>
        </w:rPr>
      </w:pPr>
      <w:r w:rsidRPr="00A56431">
        <w:rPr>
          <w:i/>
          <w:sz w:val="24"/>
          <w:szCs w:val="24"/>
        </w:rPr>
        <w:lastRenderedPageBreak/>
        <w:t>l)</w:t>
      </w:r>
      <w:r w:rsidRPr="00A56431">
        <w:rPr>
          <w:i/>
          <w:sz w:val="24"/>
          <w:szCs w:val="24"/>
        </w:rPr>
        <w:tab/>
        <w:t>Cédula profesional de quien la solicita.</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En caso de que se omita administrar un medicamento, debe registrarse en el expediente clínico y en la hoja de enfermería, señalando claramente las causas por las que no se administró.</w:t>
      </w:r>
    </w:p>
    <w:p w:rsidR="00A56431" w:rsidRPr="00A56431" w:rsidRDefault="00A56431" w:rsidP="00A56431">
      <w:pPr>
        <w:pStyle w:val="Texto"/>
        <w:spacing w:line="276" w:lineRule="auto"/>
        <w:rPr>
          <w:b/>
          <w:i/>
          <w:sz w:val="24"/>
          <w:szCs w:val="24"/>
        </w:rPr>
      </w:pPr>
      <w:r w:rsidRPr="00A56431">
        <w:rPr>
          <w:b/>
          <w:sz w:val="24"/>
          <w:szCs w:val="24"/>
        </w:rPr>
        <w:t>Acción Esencial 3 G</w:t>
      </w:r>
    </w:p>
    <w:p w:rsidR="00A56431" w:rsidRPr="00A56431" w:rsidRDefault="00A56431" w:rsidP="00A56431">
      <w:pPr>
        <w:pStyle w:val="Texto"/>
        <w:spacing w:line="276" w:lineRule="auto"/>
        <w:rPr>
          <w:i/>
          <w:sz w:val="24"/>
          <w:szCs w:val="24"/>
        </w:rPr>
      </w:pPr>
      <w:r w:rsidRPr="00A56431">
        <w:rPr>
          <w:i/>
          <w:sz w:val="24"/>
          <w:szCs w:val="24"/>
        </w:rPr>
        <w:t>De los medicamentos con aspecto o nombre parecido (LASA).</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 xml:space="preserve">Se deberán colocar alertas visuales al momento de prescribirlos y/o transcribirlos que hagan evidente la diferencia entre estos medicamentos, por ejemplo: colocar en mayúscula las letras diferentes: </w:t>
      </w:r>
      <w:proofErr w:type="spellStart"/>
      <w:r w:rsidRPr="00A56431">
        <w:rPr>
          <w:sz w:val="24"/>
          <w:szCs w:val="24"/>
        </w:rPr>
        <w:t>DIGOxina</w:t>
      </w:r>
      <w:proofErr w:type="spellEnd"/>
      <w:r w:rsidRPr="00A56431">
        <w:rPr>
          <w:sz w:val="24"/>
          <w:szCs w:val="24"/>
        </w:rPr>
        <w:t xml:space="preserve"> </w:t>
      </w:r>
      <w:proofErr w:type="spellStart"/>
      <w:r w:rsidRPr="00A56431">
        <w:rPr>
          <w:sz w:val="24"/>
          <w:szCs w:val="24"/>
        </w:rPr>
        <w:t>DORIxina</w:t>
      </w:r>
      <w:proofErr w:type="spellEnd"/>
      <w:r w:rsidRPr="00A56431">
        <w:rPr>
          <w:sz w:val="24"/>
          <w:szCs w:val="24"/>
        </w:rPr>
        <w:t xml:space="preserve">. </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Las barreras de seguridad deberán implementarse en todo el proceso de medicación, haciendo énfasis en los subprocesos de prescripción y almacenamiento.</w:t>
      </w:r>
    </w:p>
    <w:p w:rsidR="00A56431" w:rsidRPr="00A56431" w:rsidRDefault="00A56431" w:rsidP="00A56431">
      <w:pPr>
        <w:pStyle w:val="Texto"/>
        <w:spacing w:line="276" w:lineRule="auto"/>
        <w:rPr>
          <w:sz w:val="24"/>
          <w:szCs w:val="24"/>
        </w:rPr>
      </w:pPr>
      <w:r w:rsidRPr="00A56431">
        <w:rPr>
          <w:sz w:val="24"/>
          <w:szCs w:val="24"/>
        </w:rPr>
        <w:t>Asimismo, es importante que la organización coloque alertas visuales en el proceso de almacenamiento y prescripción de los medicamentos LASA, dando prioridad al proceso de prescripción con barreras de seguridad.</w:t>
      </w:r>
    </w:p>
    <w:p w:rsidR="00A56431" w:rsidRPr="00A56431" w:rsidRDefault="00A56431" w:rsidP="00A56431">
      <w:pPr>
        <w:pStyle w:val="Texto"/>
        <w:spacing w:line="276" w:lineRule="auto"/>
        <w:rPr>
          <w:b/>
          <w:sz w:val="24"/>
          <w:szCs w:val="24"/>
        </w:rPr>
      </w:pPr>
      <w:r w:rsidRPr="00A56431">
        <w:rPr>
          <w:b/>
          <w:sz w:val="24"/>
          <w:szCs w:val="24"/>
        </w:rPr>
        <w:t>Acción Esencial 3 H</w:t>
      </w:r>
    </w:p>
    <w:p w:rsidR="00A56431" w:rsidRPr="00A56431" w:rsidRDefault="00A56431" w:rsidP="00A56431">
      <w:pPr>
        <w:pStyle w:val="Texto"/>
        <w:spacing w:line="276" w:lineRule="auto"/>
        <w:rPr>
          <w:i/>
          <w:sz w:val="24"/>
          <w:szCs w:val="24"/>
        </w:rPr>
      </w:pPr>
      <w:r w:rsidRPr="00A56431">
        <w:rPr>
          <w:i/>
          <w:sz w:val="24"/>
          <w:szCs w:val="24"/>
        </w:rPr>
        <w:t>De la doble verificación durante la preparación y administración de al menos: electrolitos concentrados, insulinas, anticoagulantes vía parenteral, citotóxicos y radiofármacos.</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La doble verificación se realiza durante:</w:t>
      </w:r>
    </w:p>
    <w:p w:rsidR="00A56431" w:rsidRPr="00A56431" w:rsidRDefault="00A56431" w:rsidP="00A56431">
      <w:pPr>
        <w:pStyle w:val="Texto"/>
        <w:spacing w:line="276" w:lineRule="auto"/>
        <w:ind w:left="1080" w:hanging="432"/>
        <w:rPr>
          <w:i/>
          <w:sz w:val="24"/>
          <w:szCs w:val="24"/>
        </w:rPr>
      </w:pPr>
      <w:r w:rsidRPr="00A56431">
        <w:rPr>
          <w:sz w:val="24"/>
          <w:szCs w:val="24"/>
        </w:rPr>
        <w:t>a)</w:t>
      </w:r>
      <w:r w:rsidRPr="00A56431">
        <w:rPr>
          <w:sz w:val="24"/>
          <w:szCs w:val="24"/>
        </w:rPr>
        <w:tab/>
      </w:r>
      <w:r w:rsidRPr="00A56431">
        <w:rPr>
          <w:i/>
          <w:sz w:val="24"/>
          <w:szCs w:val="24"/>
        </w:rPr>
        <w:t>El proceso de preparación de al menos: los electrolitos concentrados, insulinas, anticoagulantes vía parenteral, citotóxicos y radiofármacos.</w:t>
      </w:r>
    </w:p>
    <w:p w:rsidR="00A56431" w:rsidRPr="00A56431" w:rsidRDefault="00A56431" w:rsidP="00A56431">
      <w:pPr>
        <w:pStyle w:val="Texto"/>
        <w:spacing w:line="276" w:lineRule="auto"/>
        <w:ind w:left="1080" w:hanging="432"/>
        <w:rPr>
          <w:i/>
          <w:sz w:val="24"/>
          <w:szCs w:val="24"/>
        </w:rPr>
      </w:pPr>
      <w:r w:rsidRPr="00A56431">
        <w:rPr>
          <w:i/>
          <w:sz w:val="24"/>
          <w:szCs w:val="24"/>
        </w:rPr>
        <w:t>b)</w:t>
      </w:r>
      <w:r w:rsidRPr="00A56431">
        <w:rPr>
          <w:i/>
          <w:sz w:val="24"/>
          <w:szCs w:val="24"/>
        </w:rPr>
        <w:tab/>
        <w:t>El proceso de administración de al menos: los electrolitos concentrados, insulinas, anticoagulantes vía parenteral, citotóxicos y radiofármacos.</w:t>
      </w:r>
    </w:p>
    <w:p w:rsidR="00A56431" w:rsidRPr="00A56431" w:rsidRDefault="00A56431" w:rsidP="00A56431">
      <w:pPr>
        <w:pStyle w:val="Texto"/>
        <w:spacing w:line="276" w:lineRule="auto"/>
        <w:rPr>
          <w:sz w:val="24"/>
          <w:szCs w:val="24"/>
        </w:rPr>
      </w:pPr>
      <w:r w:rsidRPr="00A56431">
        <w:rPr>
          <w:sz w:val="24"/>
          <w:szCs w:val="24"/>
        </w:rPr>
        <w:t>Es importante que cada organización implemente ambas barreras con el propósito de disminuir la probabilidad de que ocurran errores de medicación, como barrera de seguridad, la doble verificación, debe realizarse con dos personas con las competencias idóneas para hacerlo durante la preparación y administración de medicamentos de alto riesgo.</w:t>
      </w:r>
    </w:p>
    <w:p w:rsidR="00A56431" w:rsidRPr="00A56431" w:rsidRDefault="00A56431" w:rsidP="00A56431">
      <w:pPr>
        <w:pStyle w:val="Texto"/>
        <w:spacing w:line="276" w:lineRule="auto"/>
        <w:rPr>
          <w:b/>
          <w:sz w:val="24"/>
          <w:szCs w:val="24"/>
        </w:rPr>
      </w:pPr>
      <w:r w:rsidRPr="00A56431">
        <w:rPr>
          <w:b/>
          <w:sz w:val="24"/>
          <w:szCs w:val="24"/>
        </w:rPr>
        <w:t>Acción Esencial 3 I</w:t>
      </w:r>
    </w:p>
    <w:p w:rsidR="00A56431" w:rsidRPr="00A56431" w:rsidRDefault="00A56431" w:rsidP="00A56431">
      <w:pPr>
        <w:pStyle w:val="Texto"/>
        <w:spacing w:line="276" w:lineRule="auto"/>
        <w:rPr>
          <w:i/>
          <w:sz w:val="24"/>
          <w:szCs w:val="24"/>
        </w:rPr>
      </w:pPr>
      <w:r w:rsidRPr="00A56431">
        <w:rPr>
          <w:i/>
          <w:sz w:val="24"/>
          <w:szCs w:val="24"/>
        </w:rPr>
        <w:t>De la notificación inmediata de los eventos centinela, eventos adversos y cuasi fallas relacionados con la medicación.</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t xml:space="preserve">Cuando se presente un evento adverso por medicamentos o </w:t>
      </w:r>
      <w:proofErr w:type="spellStart"/>
      <w:r w:rsidRPr="00A56431">
        <w:rPr>
          <w:sz w:val="24"/>
          <w:szCs w:val="24"/>
        </w:rPr>
        <w:t>hemocomponentes</w:t>
      </w:r>
      <w:proofErr w:type="spellEnd"/>
      <w:r w:rsidRPr="00A56431">
        <w:rPr>
          <w:sz w:val="24"/>
          <w:szCs w:val="24"/>
        </w:rPr>
        <w:t xml:space="preserve"> debe darse prioridad a la estabilización del paciente y a la notificación de forma inmediata al médico tratante.</w:t>
      </w:r>
    </w:p>
    <w:p w:rsidR="00A56431" w:rsidRPr="00A56431" w:rsidRDefault="00A56431" w:rsidP="00A56431">
      <w:pPr>
        <w:pStyle w:val="Texto"/>
        <w:numPr>
          <w:ilvl w:val="0"/>
          <w:numId w:val="6"/>
        </w:numPr>
        <w:spacing w:line="276" w:lineRule="auto"/>
        <w:ind w:left="648"/>
        <w:rPr>
          <w:sz w:val="24"/>
          <w:szCs w:val="24"/>
        </w:rPr>
      </w:pPr>
      <w:r w:rsidRPr="00A56431">
        <w:rPr>
          <w:sz w:val="24"/>
          <w:szCs w:val="24"/>
        </w:rPr>
        <w:lastRenderedPageBreak/>
        <w:t xml:space="preserve">Realizar análisis causa raíz de todos los eventos centinela relacionados con la administración de medicamentos y </w:t>
      </w:r>
      <w:proofErr w:type="spellStart"/>
      <w:r w:rsidRPr="00A56431">
        <w:rPr>
          <w:sz w:val="24"/>
          <w:szCs w:val="24"/>
        </w:rPr>
        <w:t>hemocomponentes</w:t>
      </w:r>
      <w:proofErr w:type="spellEnd"/>
      <w:r w:rsidRPr="00A56431">
        <w:rPr>
          <w:sz w:val="24"/>
          <w:szCs w:val="24"/>
        </w:rPr>
        <w:t>.</w:t>
      </w:r>
    </w:p>
    <w:p w:rsidR="00B83449" w:rsidRPr="00A56431" w:rsidRDefault="006B7E5E" w:rsidP="00A56431">
      <w:pPr>
        <w:jc w:val="both"/>
        <w:rPr>
          <w:rFonts w:ascii="Arial" w:hAnsi="Arial" w:cs="Arial"/>
          <w:sz w:val="24"/>
          <w:szCs w:val="24"/>
          <w:lang w:val="es-MX"/>
        </w:rPr>
      </w:pPr>
      <w:proofErr w:type="spellStart"/>
      <w:proofErr w:type="gramStart"/>
      <w:r w:rsidRPr="00A56431">
        <w:rPr>
          <w:rFonts w:ascii="Arial" w:hAnsi="Arial" w:cs="Arial"/>
          <w:sz w:val="24"/>
          <w:szCs w:val="24"/>
          <w:lang w:val="es-MX"/>
        </w:rPr>
        <w:t>eda</w:t>
      </w:r>
      <w:proofErr w:type="spellEnd"/>
      <w:proofErr w:type="gramEnd"/>
      <w:r w:rsidRPr="00A56431">
        <w:rPr>
          <w:rFonts w:ascii="Arial" w:hAnsi="Arial" w:cs="Arial"/>
          <w:sz w:val="24"/>
          <w:szCs w:val="24"/>
          <w:lang w:val="es-MX"/>
        </w:rPr>
        <w:t xml:space="preserve"> ser valorado en forma correcta. </w:t>
      </w:r>
    </w:p>
    <w:sectPr w:rsidR="00B83449" w:rsidRPr="00A56431" w:rsidSect="00DB06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16EEB"/>
    <w:multiLevelType w:val="hybridMultilevel"/>
    <w:tmpl w:val="001A20C6"/>
    <w:lvl w:ilvl="0" w:tplc="D6200EC2">
      <w:start w:val="1"/>
      <w:numFmt w:val="bullet"/>
      <w:lvlText w:val="•"/>
      <w:lvlJc w:val="left"/>
      <w:pPr>
        <w:tabs>
          <w:tab w:val="num" w:pos="720"/>
        </w:tabs>
        <w:ind w:left="720" w:hanging="360"/>
      </w:pPr>
      <w:rPr>
        <w:rFonts w:ascii="Arial" w:hAnsi="Arial" w:hint="default"/>
      </w:rPr>
    </w:lvl>
    <w:lvl w:ilvl="1" w:tplc="A398AFE6" w:tentative="1">
      <w:start w:val="1"/>
      <w:numFmt w:val="bullet"/>
      <w:lvlText w:val="•"/>
      <w:lvlJc w:val="left"/>
      <w:pPr>
        <w:tabs>
          <w:tab w:val="num" w:pos="1440"/>
        </w:tabs>
        <w:ind w:left="1440" w:hanging="360"/>
      </w:pPr>
      <w:rPr>
        <w:rFonts w:ascii="Arial" w:hAnsi="Arial" w:hint="default"/>
      </w:rPr>
    </w:lvl>
    <w:lvl w:ilvl="2" w:tplc="84F2DA00" w:tentative="1">
      <w:start w:val="1"/>
      <w:numFmt w:val="bullet"/>
      <w:lvlText w:val="•"/>
      <w:lvlJc w:val="left"/>
      <w:pPr>
        <w:tabs>
          <w:tab w:val="num" w:pos="2160"/>
        </w:tabs>
        <w:ind w:left="2160" w:hanging="360"/>
      </w:pPr>
      <w:rPr>
        <w:rFonts w:ascii="Arial" w:hAnsi="Arial" w:hint="default"/>
      </w:rPr>
    </w:lvl>
    <w:lvl w:ilvl="3" w:tplc="DBD4E46C" w:tentative="1">
      <w:start w:val="1"/>
      <w:numFmt w:val="bullet"/>
      <w:lvlText w:val="•"/>
      <w:lvlJc w:val="left"/>
      <w:pPr>
        <w:tabs>
          <w:tab w:val="num" w:pos="2880"/>
        </w:tabs>
        <w:ind w:left="2880" w:hanging="360"/>
      </w:pPr>
      <w:rPr>
        <w:rFonts w:ascii="Arial" w:hAnsi="Arial" w:hint="default"/>
      </w:rPr>
    </w:lvl>
    <w:lvl w:ilvl="4" w:tplc="A5BC980A" w:tentative="1">
      <w:start w:val="1"/>
      <w:numFmt w:val="bullet"/>
      <w:lvlText w:val="•"/>
      <w:lvlJc w:val="left"/>
      <w:pPr>
        <w:tabs>
          <w:tab w:val="num" w:pos="3600"/>
        </w:tabs>
        <w:ind w:left="3600" w:hanging="360"/>
      </w:pPr>
      <w:rPr>
        <w:rFonts w:ascii="Arial" w:hAnsi="Arial" w:hint="default"/>
      </w:rPr>
    </w:lvl>
    <w:lvl w:ilvl="5" w:tplc="318C4A1A" w:tentative="1">
      <w:start w:val="1"/>
      <w:numFmt w:val="bullet"/>
      <w:lvlText w:val="•"/>
      <w:lvlJc w:val="left"/>
      <w:pPr>
        <w:tabs>
          <w:tab w:val="num" w:pos="4320"/>
        </w:tabs>
        <w:ind w:left="4320" w:hanging="360"/>
      </w:pPr>
      <w:rPr>
        <w:rFonts w:ascii="Arial" w:hAnsi="Arial" w:hint="default"/>
      </w:rPr>
    </w:lvl>
    <w:lvl w:ilvl="6" w:tplc="1B224F14" w:tentative="1">
      <w:start w:val="1"/>
      <w:numFmt w:val="bullet"/>
      <w:lvlText w:val="•"/>
      <w:lvlJc w:val="left"/>
      <w:pPr>
        <w:tabs>
          <w:tab w:val="num" w:pos="5040"/>
        </w:tabs>
        <w:ind w:left="5040" w:hanging="360"/>
      </w:pPr>
      <w:rPr>
        <w:rFonts w:ascii="Arial" w:hAnsi="Arial" w:hint="default"/>
      </w:rPr>
    </w:lvl>
    <w:lvl w:ilvl="7" w:tplc="372CE176" w:tentative="1">
      <w:start w:val="1"/>
      <w:numFmt w:val="bullet"/>
      <w:lvlText w:val="•"/>
      <w:lvlJc w:val="left"/>
      <w:pPr>
        <w:tabs>
          <w:tab w:val="num" w:pos="5760"/>
        </w:tabs>
        <w:ind w:left="5760" w:hanging="360"/>
      </w:pPr>
      <w:rPr>
        <w:rFonts w:ascii="Arial" w:hAnsi="Arial" w:hint="default"/>
      </w:rPr>
    </w:lvl>
    <w:lvl w:ilvl="8" w:tplc="1AC67D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C54D34"/>
    <w:multiLevelType w:val="hybridMultilevel"/>
    <w:tmpl w:val="0A56CABC"/>
    <w:lvl w:ilvl="0" w:tplc="0B7864BA">
      <w:start w:val="1"/>
      <w:numFmt w:val="bullet"/>
      <w:lvlText w:val="•"/>
      <w:lvlJc w:val="left"/>
      <w:pPr>
        <w:tabs>
          <w:tab w:val="num" w:pos="720"/>
        </w:tabs>
        <w:ind w:left="720" w:hanging="360"/>
      </w:pPr>
      <w:rPr>
        <w:rFonts w:ascii="Arial" w:hAnsi="Arial" w:hint="default"/>
      </w:rPr>
    </w:lvl>
    <w:lvl w:ilvl="1" w:tplc="BB369E82" w:tentative="1">
      <w:start w:val="1"/>
      <w:numFmt w:val="bullet"/>
      <w:lvlText w:val="•"/>
      <w:lvlJc w:val="left"/>
      <w:pPr>
        <w:tabs>
          <w:tab w:val="num" w:pos="1440"/>
        </w:tabs>
        <w:ind w:left="1440" w:hanging="360"/>
      </w:pPr>
      <w:rPr>
        <w:rFonts w:ascii="Arial" w:hAnsi="Arial" w:hint="default"/>
      </w:rPr>
    </w:lvl>
    <w:lvl w:ilvl="2" w:tplc="6032E5FC" w:tentative="1">
      <w:start w:val="1"/>
      <w:numFmt w:val="bullet"/>
      <w:lvlText w:val="•"/>
      <w:lvlJc w:val="left"/>
      <w:pPr>
        <w:tabs>
          <w:tab w:val="num" w:pos="2160"/>
        </w:tabs>
        <w:ind w:left="2160" w:hanging="360"/>
      </w:pPr>
      <w:rPr>
        <w:rFonts w:ascii="Arial" w:hAnsi="Arial" w:hint="default"/>
      </w:rPr>
    </w:lvl>
    <w:lvl w:ilvl="3" w:tplc="70EEF020" w:tentative="1">
      <w:start w:val="1"/>
      <w:numFmt w:val="bullet"/>
      <w:lvlText w:val="•"/>
      <w:lvlJc w:val="left"/>
      <w:pPr>
        <w:tabs>
          <w:tab w:val="num" w:pos="2880"/>
        </w:tabs>
        <w:ind w:left="2880" w:hanging="360"/>
      </w:pPr>
      <w:rPr>
        <w:rFonts w:ascii="Arial" w:hAnsi="Arial" w:hint="default"/>
      </w:rPr>
    </w:lvl>
    <w:lvl w:ilvl="4" w:tplc="B1080C42" w:tentative="1">
      <w:start w:val="1"/>
      <w:numFmt w:val="bullet"/>
      <w:lvlText w:val="•"/>
      <w:lvlJc w:val="left"/>
      <w:pPr>
        <w:tabs>
          <w:tab w:val="num" w:pos="3600"/>
        </w:tabs>
        <w:ind w:left="3600" w:hanging="360"/>
      </w:pPr>
      <w:rPr>
        <w:rFonts w:ascii="Arial" w:hAnsi="Arial" w:hint="default"/>
      </w:rPr>
    </w:lvl>
    <w:lvl w:ilvl="5" w:tplc="BF40A1C4" w:tentative="1">
      <w:start w:val="1"/>
      <w:numFmt w:val="bullet"/>
      <w:lvlText w:val="•"/>
      <w:lvlJc w:val="left"/>
      <w:pPr>
        <w:tabs>
          <w:tab w:val="num" w:pos="4320"/>
        </w:tabs>
        <w:ind w:left="4320" w:hanging="360"/>
      </w:pPr>
      <w:rPr>
        <w:rFonts w:ascii="Arial" w:hAnsi="Arial" w:hint="default"/>
      </w:rPr>
    </w:lvl>
    <w:lvl w:ilvl="6" w:tplc="867A7740" w:tentative="1">
      <w:start w:val="1"/>
      <w:numFmt w:val="bullet"/>
      <w:lvlText w:val="•"/>
      <w:lvlJc w:val="left"/>
      <w:pPr>
        <w:tabs>
          <w:tab w:val="num" w:pos="5040"/>
        </w:tabs>
        <w:ind w:left="5040" w:hanging="360"/>
      </w:pPr>
      <w:rPr>
        <w:rFonts w:ascii="Arial" w:hAnsi="Arial" w:hint="default"/>
      </w:rPr>
    </w:lvl>
    <w:lvl w:ilvl="7" w:tplc="6890D4CC" w:tentative="1">
      <w:start w:val="1"/>
      <w:numFmt w:val="bullet"/>
      <w:lvlText w:val="•"/>
      <w:lvlJc w:val="left"/>
      <w:pPr>
        <w:tabs>
          <w:tab w:val="num" w:pos="5760"/>
        </w:tabs>
        <w:ind w:left="5760" w:hanging="360"/>
      </w:pPr>
      <w:rPr>
        <w:rFonts w:ascii="Arial" w:hAnsi="Arial" w:hint="default"/>
      </w:rPr>
    </w:lvl>
    <w:lvl w:ilvl="8" w:tplc="2188C7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55060B"/>
    <w:multiLevelType w:val="hybridMultilevel"/>
    <w:tmpl w:val="21D09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1F50"/>
    <w:multiLevelType w:val="hybridMultilevel"/>
    <w:tmpl w:val="07E0915C"/>
    <w:lvl w:ilvl="0" w:tplc="EB84BF96">
      <w:start w:val="1"/>
      <w:numFmt w:val="bullet"/>
      <w:lvlText w:val="•"/>
      <w:lvlJc w:val="left"/>
      <w:pPr>
        <w:tabs>
          <w:tab w:val="num" w:pos="720"/>
        </w:tabs>
        <w:ind w:left="720" w:hanging="360"/>
      </w:pPr>
      <w:rPr>
        <w:rFonts w:ascii="Arial" w:hAnsi="Arial" w:hint="default"/>
      </w:rPr>
    </w:lvl>
    <w:lvl w:ilvl="1" w:tplc="8286E3DC" w:tentative="1">
      <w:start w:val="1"/>
      <w:numFmt w:val="bullet"/>
      <w:lvlText w:val="•"/>
      <w:lvlJc w:val="left"/>
      <w:pPr>
        <w:tabs>
          <w:tab w:val="num" w:pos="1440"/>
        </w:tabs>
        <w:ind w:left="1440" w:hanging="360"/>
      </w:pPr>
      <w:rPr>
        <w:rFonts w:ascii="Arial" w:hAnsi="Arial" w:hint="default"/>
      </w:rPr>
    </w:lvl>
    <w:lvl w:ilvl="2" w:tplc="1D3270C8" w:tentative="1">
      <w:start w:val="1"/>
      <w:numFmt w:val="bullet"/>
      <w:lvlText w:val="•"/>
      <w:lvlJc w:val="left"/>
      <w:pPr>
        <w:tabs>
          <w:tab w:val="num" w:pos="2160"/>
        </w:tabs>
        <w:ind w:left="2160" w:hanging="360"/>
      </w:pPr>
      <w:rPr>
        <w:rFonts w:ascii="Arial" w:hAnsi="Arial" w:hint="default"/>
      </w:rPr>
    </w:lvl>
    <w:lvl w:ilvl="3" w:tplc="00D8B1F2" w:tentative="1">
      <w:start w:val="1"/>
      <w:numFmt w:val="bullet"/>
      <w:lvlText w:val="•"/>
      <w:lvlJc w:val="left"/>
      <w:pPr>
        <w:tabs>
          <w:tab w:val="num" w:pos="2880"/>
        </w:tabs>
        <w:ind w:left="2880" w:hanging="360"/>
      </w:pPr>
      <w:rPr>
        <w:rFonts w:ascii="Arial" w:hAnsi="Arial" w:hint="default"/>
      </w:rPr>
    </w:lvl>
    <w:lvl w:ilvl="4" w:tplc="051C83F6" w:tentative="1">
      <w:start w:val="1"/>
      <w:numFmt w:val="bullet"/>
      <w:lvlText w:val="•"/>
      <w:lvlJc w:val="left"/>
      <w:pPr>
        <w:tabs>
          <w:tab w:val="num" w:pos="3600"/>
        </w:tabs>
        <w:ind w:left="3600" w:hanging="360"/>
      </w:pPr>
      <w:rPr>
        <w:rFonts w:ascii="Arial" w:hAnsi="Arial" w:hint="default"/>
      </w:rPr>
    </w:lvl>
    <w:lvl w:ilvl="5" w:tplc="EEDE71EE" w:tentative="1">
      <w:start w:val="1"/>
      <w:numFmt w:val="bullet"/>
      <w:lvlText w:val="•"/>
      <w:lvlJc w:val="left"/>
      <w:pPr>
        <w:tabs>
          <w:tab w:val="num" w:pos="4320"/>
        </w:tabs>
        <w:ind w:left="4320" w:hanging="360"/>
      </w:pPr>
      <w:rPr>
        <w:rFonts w:ascii="Arial" w:hAnsi="Arial" w:hint="default"/>
      </w:rPr>
    </w:lvl>
    <w:lvl w:ilvl="6" w:tplc="3708BA86" w:tentative="1">
      <w:start w:val="1"/>
      <w:numFmt w:val="bullet"/>
      <w:lvlText w:val="•"/>
      <w:lvlJc w:val="left"/>
      <w:pPr>
        <w:tabs>
          <w:tab w:val="num" w:pos="5040"/>
        </w:tabs>
        <w:ind w:left="5040" w:hanging="360"/>
      </w:pPr>
      <w:rPr>
        <w:rFonts w:ascii="Arial" w:hAnsi="Arial" w:hint="default"/>
      </w:rPr>
    </w:lvl>
    <w:lvl w:ilvl="7" w:tplc="48B0155C" w:tentative="1">
      <w:start w:val="1"/>
      <w:numFmt w:val="bullet"/>
      <w:lvlText w:val="•"/>
      <w:lvlJc w:val="left"/>
      <w:pPr>
        <w:tabs>
          <w:tab w:val="num" w:pos="5760"/>
        </w:tabs>
        <w:ind w:left="5760" w:hanging="360"/>
      </w:pPr>
      <w:rPr>
        <w:rFonts w:ascii="Arial" w:hAnsi="Arial" w:hint="default"/>
      </w:rPr>
    </w:lvl>
    <w:lvl w:ilvl="8" w:tplc="E97C01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D532559"/>
    <w:multiLevelType w:val="hybridMultilevel"/>
    <w:tmpl w:val="3D2AC4C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7F7617FA"/>
    <w:multiLevelType w:val="hybridMultilevel"/>
    <w:tmpl w:val="2FBA5186"/>
    <w:lvl w:ilvl="0" w:tplc="D5A6DDEC">
      <w:start w:val="1"/>
      <w:numFmt w:val="bullet"/>
      <w:lvlText w:val="•"/>
      <w:lvlJc w:val="left"/>
      <w:pPr>
        <w:tabs>
          <w:tab w:val="num" w:pos="720"/>
        </w:tabs>
        <w:ind w:left="720" w:hanging="360"/>
      </w:pPr>
      <w:rPr>
        <w:rFonts w:ascii="Arial" w:hAnsi="Arial" w:hint="default"/>
      </w:rPr>
    </w:lvl>
    <w:lvl w:ilvl="1" w:tplc="55C849CC" w:tentative="1">
      <w:start w:val="1"/>
      <w:numFmt w:val="bullet"/>
      <w:lvlText w:val="•"/>
      <w:lvlJc w:val="left"/>
      <w:pPr>
        <w:tabs>
          <w:tab w:val="num" w:pos="1440"/>
        </w:tabs>
        <w:ind w:left="1440" w:hanging="360"/>
      </w:pPr>
      <w:rPr>
        <w:rFonts w:ascii="Arial" w:hAnsi="Arial" w:hint="default"/>
      </w:rPr>
    </w:lvl>
    <w:lvl w:ilvl="2" w:tplc="80EA162A" w:tentative="1">
      <w:start w:val="1"/>
      <w:numFmt w:val="bullet"/>
      <w:lvlText w:val="•"/>
      <w:lvlJc w:val="left"/>
      <w:pPr>
        <w:tabs>
          <w:tab w:val="num" w:pos="2160"/>
        </w:tabs>
        <w:ind w:left="2160" w:hanging="360"/>
      </w:pPr>
      <w:rPr>
        <w:rFonts w:ascii="Arial" w:hAnsi="Arial" w:hint="default"/>
      </w:rPr>
    </w:lvl>
    <w:lvl w:ilvl="3" w:tplc="BE72CC08" w:tentative="1">
      <w:start w:val="1"/>
      <w:numFmt w:val="bullet"/>
      <w:lvlText w:val="•"/>
      <w:lvlJc w:val="left"/>
      <w:pPr>
        <w:tabs>
          <w:tab w:val="num" w:pos="2880"/>
        </w:tabs>
        <w:ind w:left="2880" w:hanging="360"/>
      </w:pPr>
      <w:rPr>
        <w:rFonts w:ascii="Arial" w:hAnsi="Arial" w:hint="default"/>
      </w:rPr>
    </w:lvl>
    <w:lvl w:ilvl="4" w:tplc="C3E01C4A" w:tentative="1">
      <w:start w:val="1"/>
      <w:numFmt w:val="bullet"/>
      <w:lvlText w:val="•"/>
      <w:lvlJc w:val="left"/>
      <w:pPr>
        <w:tabs>
          <w:tab w:val="num" w:pos="3600"/>
        </w:tabs>
        <w:ind w:left="3600" w:hanging="360"/>
      </w:pPr>
      <w:rPr>
        <w:rFonts w:ascii="Arial" w:hAnsi="Arial" w:hint="default"/>
      </w:rPr>
    </w:lvl>
    <w:lvl w:ilvl="5" w:tplc="B824C0EE" w:tentative="1">
      <w:start w:val="1"/>
      <w:numFmt w:val="bullet"/>
      <w:lvlText w:val="•"/>
      <w:lvlJc w:val="left"/>
      <w:pPr>
        <w:tabs>
          <w:tab w:val="num" w:pos="4320"/>
        </w:tabs>
        <w:ind w:left="4320" w:hanging="360"/>
      </w:pPr>
      <w:rPr>
        <w:rFonts w:ascii="Arial" w:hAnsi="Arial" w:hint="default"/>
      </w:rPr>
    </w:lvl>
    <w:lvl w:ilvl="6" w:tplc="DD5EECAA" w:tentative="1">
      <w:start w:val="1"/>
      <w:numFmt w:val="bullet"/>
      <w:lvlText w:val="•"/>
      <w:lvlJc w:val="left"/>
      <w:pPr>
        <w:tabs>
          <w:tab w:val="num" w:pos="5040"/>
        </w:tabs>
        <w:ind w:left="5040" w:hanging="360"/>
      </w:pPr>
      <w:rPr>
        <w:rFonts w:ascii="Arial" w:hAnsi="Arial" w:hint="default"/>
      </w:rPr>
    </w:lvl>
    <w:lvl w:ilvl="7" w:tplc="F9C457BA" w:tentative="1">
      <w:start w:val="1"/>
      <w:numFmt w:val="bullet"/>
      <w:lvlText w:val="•"/>
      <w:lvlJc w:val="left"/>
      <w:pPr>
        <w:tabs>
          <w:tab w:val="num" w:pos="5760"/>
        </w:tabs>
        <w:ind w:left="5760" w:hanging="360"/>
      </w:pPr>
      <w:rPr>
        <w:rFonts w:ascii="Arial" w:hAnsi="Arial" w:hint="default"/>
      </w:rPr>
    </w:lvl>
    <w:lvl w:ilvl="8" w:tplc="0852A3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44"/>
    <w:rsid w:val="00032B45"/>
    <w:rsid w:val="00111404"/>
    <w:rsid w:val="001C71DA"/>
    <w:rsid w:val="001D0CFB"/>
    <w:rsid w:val="0021744F"/>
    <w:rsid w:val="00283764"/>
    <w:rsid w:val="00343295"/>
    <w:rsid w:val="003E23C6"/>
    <w:rsid w:val="004005AD"/>
    <w:rsid w:val="00401444"/>
    <w:rsid w:val="004146E8"/>
    <w:rsid w:val="00452851"/>
    <w:rsid w:val="006520C7"/>
    <w:rsid w:val="006A6DAC"/>
    <w:rsid w:val="006B7E5E"/>
    <w:rsid w:val="006C404B"/>
    <w:rsid w:val="0075155E"/>
    <w:rsid w:val="00782D14"/>
    <w:rsid w:val="00787D1C"/>
    <w:rsid w:val="00835A5D"/>
    <w:rsid w:val="00851FAB"/>
    <w:rsid w:val="008B6717"/>
    <w:rsid w:val="008E6099"/>
    <w:rsid w:val="00900013"/>
    <w:rsid w:val="009347BF"/>
    <w:rsid w:val="00940BD7"/>
    <w:rsid w:val="009B529A"/>
    <w:rsid w:val="00A3761E"/>
    <w:rsid w:val="00A56431"/>
    <w:rsid w:val="00A610AA"/>
    <w:rsid w:val="00B00F58"/>
    <w:rsid w:val="00B3543E"/>
    <w:rsid w:val="00B655EC"/>
    <w:rsid w:val="00B83449"/>
    <w:rsid w:val="00CA6C70"/>
    <w:rsid w:val="00D370E4"/>
    <w:rsid w:val="00D65427"/>
    <w:rsid w:val="00DB069E"/>
    <w:rsid w:val="00DE51DF"/>
    <w:rsid w:val="00E03893"/>
    <w:rsid w:val="00E834E5"/>
    <w:rsid w:val="00EB6869"/>
    <w:rsid w:val="00EC536A"/>
    <w:rsid w:val="00ED6D48"/>
    <w:rsid w:val="00FA1BD9"/>
    <w:rsid w:val="00F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AB7BC-E0A0-472F-B7B1-3AB3D97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6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529A"/>
    <w:rPr>
      <w:color w:val="0000FF" w:themeColor="hyperlink"/>
      <w:u w:val="single"/>
    </w:rPr>
  </w:style>
  <w:style w:type="paragraph" w:styleId="Prrafodelista">
    <w:name w:val="List Paragraph"/>
    <w:basedOn w:val="Normal"/>
    <w:uiPriority w:val="34"/>
    <w:qFormat/>
    <w:rsid w:val="00B83449"/>
    <w:pPr>
      <w:spacing w:after="0" w:line="240" w:lineRule="auto"/>
      <w:ind w:left="720"/>
      <w:contextualSpacing/>
    </w:pPr>
    <w:rPr>
      <w:rFonts w:ascii="Times New Roman" w:eastAsia="Times New Roman" w:hAnsi="Times New Roman" w:cs="Times New Roman"/>
      <w:sz w:val="24"/>
      <w:szCs w:val="24"/>
    </w:rPr>
  </w:style>
  <w:style w:type="paragraph" w:customStyle="1" w:styleId="Texto">
    <w:name w:val="Texto"/>
    <w:basedOn w:val="Normal"/>
    <w:link w:val="TextoCar"/>
    <w:rsid w:val="00A56431"/>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A56431"/>
    <w:rPr>
      <w:rFonts w:ascii="Arial" w:eastAsia="Times New Roman" w:hAnsi="Arial" w:cs="Arial"/>
      <w:sz w:val="18"/>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3208">
      <w:bodyDiv w:val="1"/>
      <w:marLeft w:val="0"/>
      <w:marRight w:val="0"/>
      <w:marTop w:val="0"/>
      <w:marBottom w:val="0"/>
      <w:divBdr>
        <w:top w:val="none" w:sz="0" w:space="0" w:color="auto"/>
        <w:left w:val="none" w:sz="0" w:space="0" w:color="auto"/>
        <w:bottom w:val="none" w:sz="0" w:space="0" w:color="auto"/>
        <w:right w:val="none" w:sz="0" w:space="0" w:color="auto"/>
      </w:divBdr>
      <w:divsChild>
        <w:div w:id="1712532811">
          <w:marLeft w:val="360"/>
          <w:marRight w:val="0"/>
          <w:marTop w:val="200"/>
          <w:marBottom w:val="0"/>
          <w:divBdr>
            <w:top w:val="none" w:sz="0" w:space="0" w:color="auto"/>
            <w:left w:val="none" w:sz="0" w:space="0" w:color="auto"/>
            <w:bottom w:val="none" w:sz="0" w:space="0" w:color="auto"/>
            <w:right w:val="none" w:sz="0" w:space="0" w:color="auto"/>
          </w:divBdr>
        </w:div>
        <w:div w:id="1520313352">
          <w:marLeft w:val="360"/>
          <w:marRight w:val="0"/>
          <w:marTop w:val="200"/>
          <w:marBottom w:val="0"/>
          <w:divBdr>
            <w:top w:val="none" w:sz="0" w:space="0" w:color="auto"/>
            <w:left w:val="none" w:sz="0" w:space="0" w:color="auto"/>
            <w:bottom w:val="none" w:sz="0" w:space="0" w:color="auto"/>
            <w:right w:val="none" w:sz="0" w:space="0" w:color="auto"/>
          </w:divBdr>
        </w:div>
        <w:div w:id="1422684188">
          <w:marLeft w:val="360"/>
          <w:marRight w:val="0"/>
          <w:marTop w:val="200"/>
          <w:marBottom w:val="0"/>
          <w:divBdr>
            <w:top w:val="none" w:sz="0" w:space="0" w:color="auto"/>
            <w:left w:val="none" w:sz="0" w:space="0" w:color="auto"/>
            <w:bottom w:val="none" w:sz="0" w:space="0" w:color="auto"/>
            <w:right w:val="none" w:sz="0" w:space="0" w:color="auto"/>
          </w:divBdr>
        </w:div>
      </w:divsChild>
    </w:div>
    <w:div w:id="409081884">
      <w:bodyDiv w:val="1"/>
      <w:marLeft w:val="0"/>
      <w:marRight w:val="0"/>
      <w:marTop w:val="0"/>
      <w:marBottom w:val="0"/>
      <w:divBdr>
        <w:top w:val="none" w:sz="0" w:space="0" w:color="auto"/>
        <w:left w:val="none" w:sz="0" w:space="0" w:color="auto"/>
        <w:bottom w:val="none" w:sz="0" w:space="0" w:color="auto"/>
        <w:right w:val="none" w:sz="0" w:space="0" w:color="auto"/>
      </w:divBdr>
    </w:div>
    <w:div w:id="829827828">
      <w:bodyDiv w:val="1"/>
      <w:marLeft w:val="0"/>
      <w:marRight w:val="0"/>
      <w:marTop w:val="0"/>
      <w:marBottom w:val="0"/>
      <w:divBdr>
        <w:top w:val="none" w:sz="0" w:space="0" w:color="auto"/>
        <w:left w:val="none" w:sz="0" w:space="0" w:color="auto"/>
        <w:bottom w:val="none" w:sz="0" w:space="0" w:color="auto"/>
        <w:right w:val="none" w:sz="0" w:space="0" w:color="auto"/>
      </w:divBdr>
      <w:divsChild>
        <w:div w:id="1360275744">
          <w:marLeft w:val="360"/>
          <w:marRight w:val="0"/>
          <w:marTop w:val="200"/>
          <w:marBottom w:val="0"/>
          <w:divBdr>
            <w:top w:val="none" w:sz="0" w:space="0" w:color="auto"/>
            <w:left w:val="none" w:sz="0" w:space="0" w:color="auto"/>
            <w:bottom w:val="none" w:sz="0" w:space="0" w:color="auto"/>
            <w:right w:val="none" w:sz="0" w:space="0" w:color="auto"/>
          </w:divBdr>
        </w:div>
        <w:div w:id="728923149">
          <w:marLeft w:val="360"/>
          <w:marRight w:val="0"/>
          <w:marTop w:val="200"/>
          <w:marBottom w:val="0"/>
          <w:divBdr>
            <w:top w:val="none" w:sz="0" w:space="0" w:color="auto"/>
            <w:left w:val="none" w:sz="0" w:space="0" w:color="auto"/>
            <w:bottom w:val="none" w:sz="0" w:space="0" w:color="auto"/>
            <w:right w:val="none" w:sz="0" w:space="0" w:color="auto"/>
          </w:divBdr>
        </w:div>
        <w:div w:id="671836085">
          <w:marLeft w:val="360"/>
          <w:marRight w:val="0"/>
          <w:marTop w:val="200"/>
          <w:marBottom w:val="0"/>
          <w:divBdr>
            <w:top w:val="none" w:sz="0" w:space="0" w:color="auto"/>
            <w:left w:val="none" w:sz="0" w:space="0" w:color="auto"/>
            <w:bottom w:val="none" w:sz="0" w:space="0" w:color="auto"/>
            <w:right w:val="none" w:sz="0" w:space="0" w:color="auto"/>
          </w:divBdr>
        </w:div>
        <w:div w:id="1306205771">
          <w:marLeft w:val="360"/>
          <w:marRight w:val="0"/>
          <w:marTop w:val="200"/>
          <w:marBottom w:val="0"/>
          <w:divBdr>
            <w:top w:val="none" w:sz="0" w:space="0" w:color="auto"/>
            <w:left w:val="none" w:sz="0" w:space="0" w:color="auto"/>
            <w:bottom w:val="none" w:sz="0" w:space="0" w:color="auto"/>
            <w:right w:val="none" w:sz="0" w:space="0" w:color="auto"/>
          </w:divBdr>
        </w:div>
      </w:divsChild>
    </w:div>
    <w:div w:id="1009524766">
      <w:bodyDiv w:val="1"/>
      <w:marLeft w:val="0"/>
      <w:marRight w:val="0"/>
      <w:marTop w:val="0"/>
      <w:marBottom w:val="0"/>
      <w:divBdr>
        <w:top w:val="none" w:sz="0" w:space="0" w:color="auto"/>
        <w:left w:val="none" w:sz="0" w:space="0" w:color="auto"/>
        <w:bottom w:val="none" w:sz="0" w:space="0" w:color="auto"/>
        <w:right w:val="none" w:sz="0" w:space="0" w:color="auto"/>
      </w:divBdr>
      <w:divsChild>
        <w:div w:id="1169977843">
          <w:marLeft w:val="360"/>
          <w:marRight w:val="0"/>
          <w:marTop w:val="200"/>
          <w:marBottom w:val="0"/>
          <w:divBdr>
            <w:top w:val="none" w:sz="0" w:space="0" w:color="auto"/>
            <w:left w:val="none" w:sz="0" w:space="0" w:color="auto"/>
            <w:bottom w:val="none" w:sz="0" w:space="0" w:color="auto"/>
            <w:right w:val="none" w:sz="0" w:space="0" w:color="auto"/>
          </w:divBdr>
        </w:div>
        <w:div w:id="428934193">
          <w:marLeft w:val="360"/>
          <w:marRight w:val="0"/>
          <w:marTop w:val="200"/>
          <w:marBottom w:val="0"/>
          <w:divBdr>
            <w:top w:val="none" w:sz="0" w:space="0" w:color="auto"/>
            <w:left w:val="none" w:sz="0" w:space="0" w:color="auto"/>
            <w:bottom w:val="none" w:sz="0" w:space="0" w:color="auto"/>
            <w:right w:val="none" w:sz="0" w:space="0" w:color="auto"/>
          </w:divBdr>
        </w:div>
        <w:div w:id="892424845">
          <w:marLeft w:val="360"/>
          <w:marRight w:val="0"/>
          <w:marTop w:val="200"/>
          <w:marBottom w:val="0"/>
          <w:divBdr>
            <w:top w:val="none" w:sz="0" w:space="0" w:color="auto"/>
            <w:left w:val="none" w:sz="0" w:space="0" w:color="auto"/>
            <w:bottom w:val="none" w:sz="0" w:space="0" w:color="auto"/>
            <w:right w:val="none" w:sz="0" w:space="0" w:color="auto"/>
          </w:divBdr>
        </w:div>
        <w:div w:id="1054040459">
          <w:marLeft w:val="360"/>
          <w:marRight w:val="0"/>
          <w:marTop w:val="200"/>
          <w:marBottom w:val="0"/>
          <w:divBdr>
            <w:top w:val="none" w:sz="0" w:space="0" w:color="auto"/>
            <w:left w:val="none" w:sz="0" w:space="0" w:color="auto"/>
            <w:bottom w:val="none" w:sz="0" w:space="0" w:color="auto"/>
            <w:right w:val="none" w:sz="0" w:space="0" w:color="auto"/>
          </w:divBdr>
        </w:div>
      </w:divsChild>
    </w:div>
    <w:div w:id="1224024084">
      <w:bodyDiv w:val="1"/>
      <w:marLeft w:val="0"/>
      <w:marRight w:val="0"/>
      <w:marTop w:val="0"/>
      <w:marBottom w:val="0"/>
      <w:divBdr>
        <w:top w:val="none" w:sz="0" w:space="0" w:color="auto"/>
        <w:left w:val="none" w:sz="0" w:space="0" w:color="auto"/>
        <w:bottom w:val="none" w:sz="0" w:space="0" w:color="auto"/>
        <w:right w:val="none" w:sz="0" w:space="0" w:color="auto"/>
      </w:divBdr>
      <w:divsChild>
        <w:div w:id="572159079">
          <w:marLeft w:val="360"/>
          <w:marRight w:val="0"/>
          <w:marTop w:val="200"/>
          <w:marBottom w:val="0"/>
          <w:divBdr>
            <w:top w:val="none" w:sz="0" w:space="0" w:color="auto"/>
            <w:left w:val="none" w:sz="0" w:space="0" w:color="auto"/>
            <w:bottom w:val="none" w:sz="0" w:space="0" w:color="auto"/>
            <w:right w:val="none" w:sz="0" w:space="0" w:color="auto"/>
          </w:divBdr>
        </w:div>
        <w:div w:id="449326536">
          <w:marLeft w:val="360"/>
          <w:marRight w:val="0"/>
          <w:marTop w:val="200"/>
          <w:marBottom w:val="0"/>
          <w:divBdr>
            <w:top w:val="none" w:sz="0" w:space="0" w:color="auto"/>
            <w:left w:val="none" w:sz="0" w:space="0" w:color="auto"/>
            <w:bottom w:val="none" w:sz="0" w:space="0" w:color="auto"/>
            <w:right w:val="none" w:sz="0" w:space="0" w:color="auto"/>
          </w:divBdr>
        </w:div>
        <w:div w:id="151148646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10091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B.Braun Melsungen AG</Company>
  <LinksUpToDate>false</LinksUpToDate>
  <CharactersWithSpaces>11838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cotelimx</dc:creator>
  <cp:lastModifiedBy>Lilia Cote</cp:lastModifiedBy>
  <cp:revision>2</cp:revision>
  <dcterms:created xsi:type="dcterms:W3CDTF">2018-04-24T20:53:00Z</dcterms:created>
  <dcterms:modified xsi:type="dcterms:W3CDTF">2018-04-24T20:53:00Z</dcterms:modified>
</cp:coreProperties>
</file>